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5"/>
        <w:rPr>
          <w:rFonts w:ascii="??_GB2312" w:eastAsia="Times New Roman"/>
          <w:sz w:val="32"/>
          <w:szCs w:val="32"/>
        </w:rPr>
      </w:pPr>
    </w:p>
    <w:p>
      <w:pPr>
        <w:rPr>
          <w:rFonts w:ascii="仿宋_GB2312" w:hAnsi="黑体" w:eastAsia="仿宋_GB2312"/>
          <w:b/>
          <w:bCs/>
          <w:sz w:val="44"/>
          <w:szCs w:val="44"/>
        </w:rPr>
      </w:pPr>
      <w:r>
        <w:rPr>
          <w:rFonts w:ascii="??_GB2312" w:eastAsia="Times New Roman"/>
          <w:sz w:val="32"/>
          <w:szCs w:val="32"/>
        </w:rPr>
        <w:t>　　</w:t>
      </w:r>
      <w:r>
        <w:rPr>
          <w:rFonts w:hint="eastAsia" w:ascii="仿宋_GB2312" w:hAnsi="黑体" w:eastAsia="仿宋_GB2312" w:cs="仿宋_GB2312"/>
          <w:b/>
          <w:bCs/>
          <w:sz w:val="44"/>
          <w:szCs w:val="44"/>
        </w:rPr>
        <w:t>关于在铁路建设中加大县级要素资源</w:t>
      </w:r>
    </w:p>
    <w:p>
      <w:pPr>
        <w:jc w:val="center"/>
        <w:rPr>
          <w:rFonts w:ascii="仿宋_GB2312" w:hAnsi="黑体" w:eastAsia="仿宋_GB2312"/>
          <w:b/>
          <w:bCs/>
          <w:sz w:val="44"/>
          <w:szCs w:val="44"/>
        </w:rPr>
      </w:pPr>
      <w:r>
        <w:rPr>
          <w:rFonts w:hint="eastAsia" w:ascii="仿宋_GB2312" w:hAnsi="黑体" w:eastAsia="仿宋_GB2312" w:cs="仿宋_GB2312"/>
          <w:b/>
          <w:bCs/>
          <w:sz w:val="44"/>
          <w:szCs w:val="44"/>
        </w:rPr>
        <w:t>统筹力度的建议</w:t>
      </w:r>
    </w:p>
    <w:p>
      <w:pPr>
        <w:rPr>
          <w:rFonts w:ascii="仿宋_GB2312" w:eastAsia="仿宋_GB2312"/>
          <w:sz w:val="32"/>
          <w:szCs w:val="32"/>
        </w:rPr>
      </w:pPr>
    </w:p>
    <w:p>
      <w:pPr>
        <w:ind w:firstLine="640" w:firstLineChars="200"/>
        <w:rPr>
          <w:rFonts w:ascii="仿宋_GB2312" w:eastAsia="仿宋_GB2312"/>
          <w:sz w:val="32"/>
          <w:szCs w:val="32"/>
        </w:rPr>
      </w:pPr>
      <w:r>
        <w:rPr>
          <w:rFonts w:ascii="仿宋_GB2312" w:eastAsia="仿宋_GB2312" w:cs="仿宋_GB2312"/>
          <w:sz w:val="32"/>
          <w:szCs w:val="32"/>
        </w:rPr>
        <w:t>2020</w:t>
      </w:r>
      <w:r>
        <w:rPr>
          <w:rFonts w:hint="eastAsia" w:ascii="仿宋_GB2312" w:eastAsia="仿宋_GB2312" w:cs="仿宋_GB2312"/>
          <w:sz w:val="32"/>
          <w:szCs w:val="32"/>
        </w:rPr>
        <w:t>年，杭绍台铁路建设步伐将明显加快，金甬铁路建设也将全线推进，绍兴至嵊新市域铁路规划研究工作初步完成，宁波市轨道交通奉化线延伸至嵊州的建设项目也摆上了议事日程。众多铁路建设项目对嵊州来说，是千载难逢的重大发展机遇，可以进一步完善综合交通基础设施并引领地方经济社会可持续发展，但嵊州在阔步迈向铁路时代的同时也面临着巨大压力，特别是由于自身工业经济基础、公共财政保障能力较为薄弱，筹集铁路建设资本金压力很大。就拿已经动建的两条铁路来说，杭绍台铁路嵊州段需承担资本金共</w:t>
      </w:r>
      <w:r>
        <w:rPr>
          <w:rFonts w:ascii="仿宋_GB2312" w:eastAsia="仿宋_GB2312" w:cs="仿宋_GB2312"/>
          <w:sz w:val="32"/>
          <w:szCs w:val="32"/>
        </w:rPr>
        <w:t>4.18</w:t>
      </w:r>
      <w:r>
        <w:rPr>
          <w:rFonts w:hint="eastAsia" w:ascii="仿宋_GB2312" w:eastAsia="仿宋_GB2312" w:cs="仿宋_GB2312"/>
          <w:sz w:val="32"/>
          <w:szCs w:val="32"/>
        </w:rPr>
        <w:t>亿元（占绍兴市的</w:t>
      </w:r>
      <w:r>
        <w:rPr>
          <w:rFonts w:ascii="仿宋_GB2312" w:eastAsia="仿宋_GB2312" w:cs="仿宋_GB2312"/>
          <w:sz w:val="32"/>
          <w:szCs w:val="32"/>
        </w:rPr>
        <w:t>33.1%</w:t>
      </w:r>
      <w:r>
        <w:rPr>
          <w:rFonts w:hint="eastAsia" w:ascii="仿宋_GB2312" w:eastAsia="仿宋_GB2312" w:cs="仿宋_GB2312"/>
          <w:sz w:val="32"/>
          <w:szCs w:val="32"/>
        </w:rPr>
        <w:t>），已经支付</w:t>
      </w:r>
      <w:r>
        <w:rPr>
          <w:rFonts w:ascii="仿宋_GB2312" w:eastAsia="仿宋_GB2312" w:cs="仿宋_GB2312"/>
          <w:sz w:val="32"/>
          <w:szCs w:val="32"/>
        </w:rPr>
        <w:t>1.91</w:t>
      </w:r>
      <w:r>
        <w:rPr>
          <w:rFonts w:hint="eastAsia" w:ascii="仿宋_GB2312" w:eastAsia="仿宋_GB2312" w:cs="仿宋_GB2312"/>
          <w:sz w:val="32"/>
          <w:szCs w:val="32"/>
        </w:rPr>
        <w:t>亿元，还需支付</w:t>
      </w:r>
      <w:r>
        <w:rPr>
          <w:rFonts w:ascii="仿宋_GB2312" w:eastAsia="仿宋_GB2312" w:cs="仿宋_GB2312"/>
          <w:sz w:val="32"/>
          <w:szCs w:val="32"/>
        </w:rPr>
        <w:t>2.27</w:t>
      </w:r>
      <w:r>
        <w:rPr>
          <w:rFonts w:hint="eastAsia" w:ascii="仿宋_GB2312" w:eastAsia="仿宋_GB2312" w:cs="仿宋_GB2312"/>
          <w:sz w:val="32"/>
          <w:szCs w:val="32"/>
        </w:rPr>
        <w:t>亿元；金甬铁路嵊州段需承担资本金</w:t>
      </w:r>
      <w:r>
        <w:rPr>
          <w:rFonts w:ascii="仿宋_GB2312" w:eastAsia="仿宋_GB2312" w:cs="仿宋_GB2312"/>
          <w:sz w:val="32"/>
          <w:szCs w:val="32"/>
        </w:rPr>
        <w:t>15.46</w:t>
      </w:r>
      <w:r>
        <w:rPr>
          <w:rFonts w:hint="eastAsia" w:ascii="仿宋_GB2312" w:eastAsia="仿宋_GB2312" w:cs="仿宋_GB2312"/>
          <w:sz w:val="32"/>
          <w:szCs w:val="32"/>
        </w:rPr>
        <w:t>亿元（占绍兴市的</w:t>
      </w:r>
      <w:r>
        <w:rPr>
          <w:rFonts w:ascii="仿宋_GB2312" w:eastAsia="仿宋_GB2312" w:cs="仿宋_GB2312"/>
          <w:sz w:val="32"/>
          <w:szCs w:val="32"/>
        </w:rPr>
        <w:t>83.1%</w:t>
      </w:r>
      <w:r>
        <w:rPr>
          <w:rFonts w:hint="eastAsia" w:ascii="仿宋_GB2312" w:eastAsia="仿宋_GB2312" w:cs="仿宋_GB2312"/>
          <w:sz w:val="32"/>
          <w:szCs w:val="32"/>
        </w:rPr>
        <w:t>），已经支付</w:t>
      </w:r>
      <w:r>
        <w:rPr>
          <w:rFonts w:ascii="仿宋_GB2312" w:eastAsia="仿宋_GB2312" w:cs="仿宋_GB2312"/>
          <w:sz w:val="32"/>
          <w:szCs w:val="32"/>
        </w:rPr>
        <w:t>0.6665</w:t>
      </w:r>
      <w:r>
        <w:rPr>
          <w:rFonts w:hint="eastAsia" w:ascii="仿宋_GB2312" w:eastAsia="仿宋_GB2312" w:cs="仿宋_GB2312"/>
          <w:sz w:val="32"/>
          <w:szCs w:val="32"/>
        </w:rPr>
        <w:t>亿元，还需支付</w:t>
      </w:r>
      <w:r>
        <w:rPr>
          <w:rFonts w:ascii="仿宋_GB2312" w:eastAsia="仿宋_GB2312" w:cs="仿宋_GB2312"/>
          <w:sz w:val="32"/>
          <w:szCs w:val="32"/>
        </w:rPr>
        <w:t>14.7935</w:t>
      </w:r>
      <w:r>
        <w:rPr>
          <w:rFonts w:hint="eastAsia" w:ascii="仿宋_GB2312" w:eastAsia="仿宋_GB2312" w:cs="仿宋_GB2312"/>
          <w:sz w:val="32"/>
          <w:szCs w:val="32"/>
        </w:rPr>
        <w:t>亿元。因此，希望绍兴市人民政府着重做好以下三方面工作，以扎实的举措来统筹推进全市铁路建设和嵊州经济社会持续健康发展，真正将绍兴市“十三五”发展规划中有关“嵊州打造浙东交通重镇、绍兴南部经济增长极”等战略目标落到实处。</w:t>
      </w:r>
    </w:p>
    <w:p>
      <w:pPr>
        <w:rPr>
          <w:rFonts w:ascii="仿宋_GB2312" w:eastAsia="仿宋_GB2312"/>
          <w:sz w:val="32"/>
          <w:szCs w:val="32"/>
        </w:rPr>
      </w:pPr>
      <w:r>
        <w:rPr>
          <w:rFonts w:hint="eastAsia" w:ascii="仿宋_GB2312" w:eastAsia="仿宋_GB2312" w:cs="仿宋_GB2312"/>
          <w:b/>
          <w:bCs/>
          <w:sz w:val="32"/>
          <w:szCs w:val="32"/>
        </w:rPr>
        <w:t>　　</w:t>
      </w:r>
      <w:r>
        <w:rPr>
          <w:rFonts w:ascii="仿宋_GB2312" w:eastAsia="仿宋_GB2312" w:cs="仿宋_GB2312"/>
          <w:b/>
          <w:bCs/>
          <w:sz w:val="32"/>
          <w:szCs w:val="32"/>
        </w:rPr>
        <w:t>1.</w:t>
      </w:r>
      <w:r>
        <w:rPr>
          <w:rFonts w:hint="eastAsia" w:ascii="仿宋_GB2312" w:eastAsia="仿宋_GB2312" w:cs="仿宋_GB2312"/>
          <w:b/>
          <w:bCs/>
          <w:sz w:val="32"/>
          <w:szCs w:val="32"/>
        </w:rPr>
        <w:t>集中力量办大事，加强县级要素资源统筹。</w:t>
      </w:r>
      <w:r>
        <w:rPr>
          <w:rFonts w:hint="eastAsia" w:ascii="仿宋_GB2312" w:eastAsia="仿宋_GB2312" w:cs="仿宋_GB2312"/>
          <w:sz w:val="32"/>
          <w:szCs w:val="32"/>
        </w:rPr>
        <w:t>在嵊州境内十字交叉的上述两条铁路建设是绍兴实施融杭联甬接沪战略、推进杭绍甬一体化、高效联结四大都市区和全面融入长三角一体化的重要载体，必将在我们绍兴历史上写下浓墨重彩的一笔，两条铁路建成投用后惠及所有绍兴市民和企业。为此，要举全市之力来建成用好这两条铁路，加大资金筹集使用、土地指标落实和调配的统筹力度，真正将铁路建设这件大事要事办实办好。</w:t>
      </w:r>
    </w:p>
    <w:p>
      <w:pPr>
        <w:rPr>
          <w:rFonts w:ascii="仿宋_GB2312" w:eastAsia="仿宋_GB2312"/>
          <w:sz w:val="32"/>
          <w:szCs w:val="32"/>
        </w:rPr>
      </w:pPr>
      <w:r>
        <w:rPr>
          <w:rFonts w:hint="eastAsia" w:ascii="仿宋_GB2312" w:eastAsia="仿宋_GB2312" w:cs="仿宋_GB2312"/>
          <w:sz w:val="32"/>
          <w:szCs w:val="32"/>
        </w:rPr>
        <w:t>　　</w:t>
      </w:r>
      <w:r>
        <w:rPr>
          <w:rFonts w:ascii="仿宋_GB2312" w:eastAsia="仿宋_GB2312" w:cs="仿宋_GB2312"/>
          <w:b/>
          <w:bCs/>
          <w:sz w:val="32"/>
          <w:szCs w:val="32"/>
        </w:rPr>
        <w:t>2.</w:t>
      </w:r>
      <w:r>
        <w:rPr>
          <w:rFonts w:hint="eastAsia" w:ascii="仿宋_GB2312" w:eastAsia="仿宋_GB2312" w:cs="仿宋_GB2312"/>
          <w:b/>
          <w:bCs/>
          <w:sz w:val="32"/>
          <w:szCs w:val="32"/>
        </w:rPr>
        <w:t>出台相关政策措施，扶持薄弱地区解决发展不平衡不充分问题。</w:t>
      </w:r>
      <w:r>
        <w:rPr>
          <w:rFonts w:hint="eastAsia" w:ascii="仿宋_GB2312" w:eastAsia="仿宋_GB2312" w:cs="仿宋_GB2312"/>
          <w:sz w:val="32"/>
          <w:szCs w:val="32"/>
        </w:rPr>
        <w:t>要求绍兴市政府从推进全市域深化改革和高质量发展的高度，将支持两条铁路建设列为解决绍兴南部地区交通运输业发展不平衡不充分、补齐补强南部地区发展短板的一大举措，在铁路建设资金筹集、沿线土地指标分配等方面给予嵊州一定的政策倾斜，以帮助该市解决财政总量和人均可用财力相对薄弱的问题。</w:t>
      </w:r>
    </w:p>
    <w:p>
      <w:pPr>
        <w:rPr>
          <w:rFonts w:ascii="仿宋_GB2312" w:eastAsia="仿宋_GB2312"/>
          <w:sz w:val="32"/>
          <w:szCs w:val="32"/>
        </w:rPr>
      </w:pPr>
      <w:r>
        <w:rPr>
          <w:rFonts w:hint="eastAsia" w:ascii="仿宋_GB2312" w:eastAsia="仿宋_GB2312" w:cs="仿宋_GB2312"/>
          <w:sz w:val="32"/>
          <w:szCs w:val="32"/>
        </w:rPr>
        <w:t>　</w:t>
      </w:r>
      <w:r>
        <w:rPr>
          <w:rFonts w:hint="eastAsia" w:ascii="仿宋_GB2312" w:eastAsia="仿宋_GB2312" w:cs="仿宋_GB2312"/>
          <w:b/>
          <w:bCs/>
          <w:sz w:val="32"/>
          <w:szCs w:val="32"/>
        </w:rPr>
        <w:t>　</w:t>
      </w:r>
      <w:r>
        <w:rPr>
          <w:rFonts w:ascii="仿宋_GB2312" w:eastAsia="仿宋_GB2312" w:cs="仿宋_GB2312"/>
          <w:b/>
          <w:bCs/>
          <w:sz w:val="32"/>
          <w:szCs w:val="32"/>
        </w:rPr>
        <w:t>3.</w:t>
      </w:r>
      <w:r>
        <w:rPr>
          <w:rFonts w:hint="eastAsia" w:ascii="仿宋_GB2312" w:eastAsia="仿宋_GB2312" w:cs="仿宋_GB2312"/>
          <w:b/>
          <w:bCs/>
          <w:sz w:val="32"/>
          <w:szCs w:val="32"/>
        </w:rPr>
        <w:t>设立铁路建设和发展协作基金，大力发展综合交通衍生产业。</w:t>
      </w:r>
      <w:r>
        <w:rPr>
          <w:rFonts w:hint="eastAsia" w:ascii="仿宋_GB2312" w:eastAsia="仿宋_GB2312" w:cs="仿宋_GB2312"/>
          <w:sz w:val="32"/>
          <w:szCs w:val="32"/>
        </w:rPr>
        <w:t>集合发改、交通、文化旅游等部门的闲置资产和优势资源，以市政府名义成立铁路建设和发展协作基金，将该基金统筹使用于沿线土地资源开发利用、站场建设、物流发展和交通设备制造等相关产业，前瞻性挖掘公转铁、铁转水等现代物流业发展的潜力，对铁路沿线核心文化旅游景区进行二次开发和利用，赋能铁路经济时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E33514E"/>
    <w:rsid w:val="0001763A"/>
    <w:rsid w:val="00171B39"/>
    <w:rsid w:val="00305191"/>
    <w:rsid w:val="004A1EC2"/>
    <w:rsid w:val="00522C90"/>
    <w:rsid w:val="006B672C"/>
    <w:rsid w:val="006F3E4D"/>
    <w:rsid w:val="00A418FE"/>
    <w:rsid w:val="00BF7120"/>
    <w:rsid w:val="00C314AF"/>
    <w:rsid w:val="01C5487B"/>
    <w:rsid w:val="08257341"/>
    <w:rsid w:val="111A03D3"/>
    <w:rsid w:val="1519504F"/>
    <w:rsid w:val="28E72A9E"/>
    <w:rsid w:val="339B3E12"/>
    <w:rsid w:val="4D884BF8"/>
    <w:rsid w:val="4E33514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zjdsa</Company>
  <Pages>3</Pages>
  <Words>164</Words>
  <Characters>941</Characters>
  <Lines>0</Lines>
  <Paragraphs>0</Paragraphs>
  <TotalTime>10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2019-11-22T02:02:00Z</dcterms:created>
  <dc:creator>Administrator</dc:creator>
  <cp:lastModifiedBy>Admin</cp:lastModifiedBy>
  <cp:lastPrinted>2019-11-26T10:03:00Z</cp:lastPrinted>
  <dcterms:modified xsi:type="dcterms:W3CDTF">2020-04-23T14:49:13Z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