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eastAsia="黑体"/>
          <w:color w:val="000000"/>
        </w:rPr>
      </w:pPr>
      <w:r>
        <w:rPr>
          <w:rFonts w:eastAsia="黑体"/>
          <w:color w:val="000000"/>
        </w:rPr>
        <w:t>附件3</w:t>
      </w:r>
    </w:p>
    <w:p>
      <w:pPr>
        <w:widowControl/>
        <w:spacing w:line="580" w:lineRule="exact"/>
        <w:jc w:val="left"/>
        <w:rPr>
          <w:rFonts w:eastAsia="黑体"/>
          <w:color w:val="000000"/>
        </w:rPr>
      </w:pPr>
    </w:p>
    <w:p>
      <w:pPr>
        <w:spacing w:line="580" w:lineRule="exact"/>
        <w:jc w:val="center"/>
        <w:rPr>
          <w:rFonts w:eastAsia="方正小标宋简体"/>
          <w:bCs/>
          <w:color w:val="000000"/>
          <w:sz w:val="42"/>
          <w:szCs w:val="42"/>
        </w:rPr>
      </w:pPr>
      <w:r>
        <w:rPr>
          <w:rFonts w:eastAsia="方正小标宋简体"/>
          <w:bCs/>
          <w:color w:val="000000"/>
          <w:sz w:val="42"/>
          <w:szCs w:val="42"/>
        </w:rPr>
        <w:t>各区、县（市）东西扶贫协作工作年度指标</w:t>
      </w:r>
    </w:p>
    <w:p>
      <w:pPr>
        <w:spacing w:line="580" w:lineRule="exact"/>
        <w:jc w:val="center"/>
        <w:rPr>
          <w:rFonts w:eastAsia="方正小标宋简体"/>
          <w:bCs/>
          <w:color w:val="000000"/>
          <w:sz w:val="42"/>
          <w:szCs w:val="42"/>
        </w:rPr>
      </w:pPr>
      <w:bookmarkStart w:id="0" w:name="_GoBack"/>
      <w:bookmarkEnd w:id="0"/>
      <w:r>
        <w:rPr>
          <w:rFonts w:eastAsia="方正小标宋简体"/>
          <w:bCs/>
          <w:color w:val="000000"/>
          <w:sz w:val="42"/>
          <w:szCs w:val="42"/>
        </w:rPr>
        <w:t>评价办法</w:t>
      </w:r>
    </w:p>
    <w:p>
      <w:pPr>
        <w:spacing w:line="580" w:lineRule="exact"/>
        <w:jc w:val="center"/>
        <w:rPr>
          <w:rFonts w:eastAsia="方正小标宋简体"/>
          <w:bCs/>
          <w:color w:val="000000"/>
          <w:sz w:val="44"/>
          <w:szCs w:val="44"/>
        </w:rPr>
      </w:pPr>
    </w:p>
    <w:tbl>
      <w:tblPr>
        <w:tblStyle w:val="2"/>
        <w:tblW w:w="8874" w:type="dxa"/>
        <w:jc w:val="center"/>
        <w:tblInd w:w="0"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
      <w:tblGrid>
        <w:gridCol w:w="424"/>
        <w:gridCol w:w="738"/>
        <w:gridCol w:w="5942"/>
        <w:gridCol w:w="910"/>
        <w:gridCol w:w="86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blHeader/>
          <w:jc w:val="center"/>
        </w:trPr>
        <w:tc>
          <w:tcPr>
            <w:tcW w:w="424" w:type="dxa"/>
            <w:noWrap w:val="0"/>
            <w:vAlign w:val="center"/>
          </w:tcPr>
          <w:p>
            <w:pPr>
              <w:spacing w:line="260" w:lineRule="exact"/>
              <w:jc w:val="center"/>
              <w:rPr>
                <w:rFonts w:eastAsia="黑体"/>
                <w:color w:val="000000"/>
                <w:kern w:val="0"/>
                <w:sz w:val="24"/>
              </w:rPr>
            </w:pPr>
            <w:r>
              <w:rPr>
                <w:rFonts w:eastAsia="黑体"/>
                <w:color w:val="000000"/>
                <w:kern w:val="0"/>
                <w:sz w:val="24"/>
              </w:rPr>
              <w:t>序号</w:t>
            </w:r>
          </w:p>
        </w:tc>
        <w:tc>
          <w:tcPr>
            <w:tcW w:w="738" w:type="dxa"/>
            <w:noWrap w:val="0"/>
            <w:vAlign w:val="center"/>
          </w:tcPr>
          <w:p>
            <w:pPr>
              <w:spacing w:line="260" w:lineRule="exact"/>
              <w:jc w:val="center"/>
              <w:rPr>
                <w:rFonts w:eastAsia="黑体"/>
                <w:color w:val="000000"/>
                <w:kern w:val="0"/>
                <w:sz w:val="24"/>
              </w:rPr>
            </w:pPr>
            <w:r>
              <w:rPr>
                <w:rFonts w:eastAsia="黑体"/>
                <w:color w:val="000000"/>
                <w:kern w:val="0"/>
                <w:sz w:val="24"/>
              </w:rPr>
              <w:t>名称</w:t>
            </w:r>
          </w:p>
          <w:p>
            <w:pPr>
              <w:spacing w:line="260" w:lineRule="exact"/>
              <w:jc w:val="center"/>
              <w:rPr>
                <w:rFonts w:eastAsia="黑体"/>
                <w:color w:val="000000"/>
                <w:kern w:val="0"/>
                <w:sz w:val="24"/>
              </w:rPr>
            </w:pPr>
            <w:r>
              <w:rPr>
                <w:rFonts w:eastAsia="黑体"/>
                <w:color w:val="000000"/>
                <w:kern w:val="0"/>
                <w:sz w:val="24"/>
              </w:rPr>
              <w:t>指标</w:t>
            </w:r>
          </w:p>
        </w:tc>
        <w:tc>
          <w:tcPr>
            <w:tcW w:w="5942" w:type="dxa"/>
            <w:noWrap w:val="0"/>
            <w:vAlign w:val="center"/>
          </w:tcPr>
          <w:p>
            <w:pPr>
              <w:spacing w:line="260" w:lineRule="exact"/>
              <w:jc w:val="center"/>
              <w:rPr>
                <w:rFonts w:eastAsia="黑体"/>
                <w:color w:val="000000"/>
                <w:kern w:val="0"/>
                <w:sz w:val="24"/>
              </w:rPr>
            </w:pPr>
            <w:r>
              <w:rPr>
                <w:rFonts w:eastAsia="黑体"/>
                <w:color w:val="000000"/>
                <w:kern w:val="0"/>
                <w:sz w:val="24"/>
              </w:rPr>
              <w:t>考核内容</w:t>
            </w:r>
          </w:p>
        </w:tc>
        <w:tc>
          <w:tcPr>
            <w:tcW w:w="910" w:type="dxa"/>
            <w:noWrap w:val="0"/>
            <w:vAlign w:val="center"/>
          </w:tcPr>
          <w:p>
            <w:pPr>
              <w:spacing w:line="260" w:lineRule="exact"/>
              <w:jc w:val="center"/>
              <w:rPr>
                <w:rFonts w:eastAsia="黑体"/>
                <w:color w:val="000000"/>
                <w:kern w:val="0"/>
                <w:sz w:val="24"/>
              </w:rPr>
            </w:pPr>
            <w:r>
              <w:rPr>
                <w:rFonts w:eastAsia="黑体"/>
                <w:color w:val="000000"/>
                <w:kern w:val="0"/>
                <w:sz w:val="24"/>
              </w:rPr>
              <w:t>分值</w:t>
            </w:r>
          </w:p>
          <w:p>
            <w:pPr>
              <w:spacing w:line="260" w:lineRule="exact"/>
              <w:jc w:val="center"/>
              <w:rPr>
                <w:rFonts w:eastAsia="黑体"/>
                <w:color w:val="000000"/>
                <w:kern w:val="0"/>
                <w:sz w:val="24"/>
              </w:rPr>
            </w:pPr>
            <w:r>
              <w:rPr>
                <w:rFonts w:eastAsia="黑体"/>
                <w:color w:val="000000"/>
                <w:kern w:val="0"/>
                <w:sz w:val="24"/>
              </w:rPr>
              <w:t>（70分）</w:t>
            </w:r>
          </w:p>
        </w:tc>
        <w:tc>
          <w:tcPr>
            <w:tcW w:w="860" w:type="dxa"/>
            <w:noWrap w:val="0"/>
            <w:vAlign w:val="center"/>
          </w:tcPr>
          <w:p>
            <w:pPr>
              <w:spacing w:line="260" w:lineRule="exact"/>
              <w:jc w:val="center"/>
              <w:rPr>
                <w:rFonts w:eastAsia="黑体"/>
                <w:color w:val="000000"/>
                <w:kern w:val="0"/>
                <w:sz w:val="24"/>
              </w:rPr>
            </w:pPr>
            <w:r>
              <w:rPr>
                <w:rFonts w:eastAsia="黑体"/>
                <w:color w:val="000000"/>
                <w:kern w:val="0"/>
                <w:sz w:val="24"/>
              </w:rPr>
              <w:t>考核</w:t>
            </w:r>
          </w:p>
          <w:p>
            <w:pPr>
              <w:spacing w:line="260" w:lineRule="exact"/>
              <w:jc w:val="center"/>
              <w:rPr>
                <w:rFonts w:eastAsia="黑体"/>
                <w:color w:val="000000"/>
                <w:kern w:val="0"/>
                <w:sz w:val="24"/>
              </w:rPr>
            </w:pPr>
            <w:r>
              <w:rPr>
                <w:rFonts w:eastAsia="黑体"/>
                <w:color w:val="000000"/>
                <w:kern w:val="0"/>
                <w:sz w:val="24"/>
              </w:rPr>
              <w:t>依据</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130" w:hRule="atLeast"/>
          <w:jc w:val="center"/>
        </w:trPr>
        <w:tc>
          <w:tcPr>
            <w:tcW w:w="424" w:type="dxa"/>
            <w:noWrap w:val="0"/>
            <w:vAlign w:val="center"/>
          </w:tcPr>
          <w:p>
            <w:pPr>
              <w:spacing w:line="300" w:lineRule="exact"/>
              <w:jc w:val="center"/>
              <w:rPr>
                <w:color w:val="000000"/>
                <w:kern w:val="0"/>
                <w:sz w:val="24"/>
              </w:rPr>
            </w:pPr>
            <w:r>
              <w:rPr>
                <w:color w:val="000000"/>
                <w:kern w:val="0"/>
                <w:sz w:val="24"/>
              </w:rPr>
              <w:t>1</w:t>
            </w:r>
          </w:p>
        </w:tc>
        <w:tc>
          <w:tcPr>
            <w:tcW w:w="738" w:type="dxa"/>
            <w:vMerge w:val="restart"/>
            <w:noWrap w:val="0"/>
            <w:vAlign w:val="center"/>
          </w:tcPr>
          <w:p>
            <w:pPr>
              <w:spacing w:line="300" w:lineRule="exact"/>
              <w:jc w:val="center"/>
              <w:rPr>
                <w:color w:val="000000"/>
                <w:kern w:val="0"/>
                <w:sz w:val="24"/>
              </w:rPr>
            </w:pPr>
            <w:r>
              <w:rPr>
                <w:color w:val="000000"/>
                <w:kern w:val="0"/>
                <w:sz w:val="24"/>
              </w:rPr>
              <w:t>组织</w:t>
            </w:r>
          </w:p>
          <w:p>
            <w:pPr>
              <w:spacing w:line="300" w:lineRule="exact"/>
              <w:jc w:val="center"/>
              <w:rPr>
                <w:color w:val="000000"/>
                <w:kern w:val="0"/>
                <w:sz w:val="24"/>
              </w:rPr>
            </w:pPr>
            <w:r>
              <w:rPr>
                <w:color w:val="000000"/>
                <w:kern w:val="0"/>
                <w:sz w:val="24"/>
              </w:rPr>
              <w:t>领导</w:t>
            </w:r>
            <w:r>
              <w:rPr>
                <w:color w:val="000000"/>
                <w:spacing w:val="-20"/>
                <w:kern w:val="0"/>
                <w:sz w:val="24"/>
              </w:rPr>
              <w:t>（10）</w:t>
            </w:r>
          </w:p>
        </w:tc>
        <w:tc>
          <w:tcPr>
            <w:tcW w:w="5942" w:type="dxa"/>
            <w:noWrap w:val="0"/>
            <w:vAlign w:val="center"/>
          </w:tcPr>
          <w:p>
            <w:pPr>
              <w:spacing w:line="300" w:lineRule="exact"/>
              <w:rPr>
                <w:color w:val="000000"/>
                <w:kern w:val="0"/>
                <w:sz w:val="24"/>
              </w:rPr>
            </w:pPr>
            <w:r>
              <w:rPr>
                <w:rFonts w:hAnsi="仿宋_GB2312"/>
                <w:color w:val="000000"/>
                <w:kern w:val="0"/>
                <w:sz w:val="24"/>
              </w:rPr>
              <w:t>区、县（市）党委或政府负责同志赴受帮扶县（市）调研对接工作情况，主要查看带队调研对接党政负责同志姓名及职务、对接时间、活动方案等。</w:t>
            </w:r>
            <w:r>
              <w:rPr>
                <w:rFonts w:hAnsi="黑体" w:eastAsia="黑体"/>
                <w:color w:val="000000"/>
                <w:kern w:val="0"/>
                <w:sz w:val="24"/>
              </w:rPr>
              <w:t>（完成得</w:t>
            </w:r>
            <w:r>
              <w:rPr>
                <w:rFonts w:eastAsia="黑体"/>
                <w:color w:val="000000"/>
                <w:kern w:val="0"/>
                <w:sz w:val="24"/>
              </w:rPr>
              <w:t>4</w:t>
            </w:r>
            <w:r>
              <w:rPr>
                <w:rFonts w:hAnsi="黑体" w:eastAsia="黑体"/>
                <w:color w:val="000000"/>
                <w:kern w:val="0"/>
                <w:sz w:val="24"/>
              </w:rPr>
              <w:t>分，未完成得</w:t>
            </w:r>
            <w:r>
              <w:rPr>
                <w:rFonts w:eastAsia="黑体"/>
                <w:color w:val="000000"/>
                <w:kern w:val="0"/>
                <w:sz w:val="24"/>
              </w:rPr>
              <w:t>0</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4</w:t>
            </w:r>
          </w:p>
        </w:tc>
        <w:tc>
          <w:tcPr>
            <w:tcW w:w="860" w:type="dxa"/>
            <w:vMerge w:val="restart"/>
            <w:noWrap w:val="0"/>
            <w:vAlign w:val="center"/>
          </w:tcPr>
          <w:p>
            <w:pPr>
              <w:spacing w:line="300" w:lineRule="exact"/>
              <w:rPr>
                <w:color w:val="000000"/>
                <w:kern w:val="0"/>
                <w:sz w:val="24"/>
              </w:rPr>
            </w:pPr>
            <w:r>
              <w:rPr>
                <w:color w:val="000000"/>
                <w:kern w:val="0"/>
                <w:sz w:val="24"/>
              </w:rPr>
              <w:t>核验会议纪要、相关报道等</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115" w:hRule="atLeast"/>
          <w:jc w:val="center"/>
        </w:trPr>
        <w:tc>
          <w:tcPr>
            <w:tcW w:w="424" w:type="dxa"/>
            <w:noWrap w:val="0"/>
            <w:vAlign w:val="center"/>
          </w:tcPr>
          <w:p>
            <w:pPr>
              <w:spacing w:line="300" w:lineRule="exact"/>
              <w:jc w:val="center"/>
              <w:rPr>
                <w:color w:val="000000"/>
                <w:kern w:val="0"/>
                <w:sz w:val="24"/>
              </w:rPr>
            </w:pPr>
            <w:r>
              <w:rPr>
                <w:color w:val="000000"/>
                <w:kern w:val="0"/>
                <w:sz w:val="24"/>
              </w:rPr>
              <w:t>2</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召开县级高层联席会议情况，主要查看会议通知、时间、地点、议程、参加人员、会议纪要等。</w:t>
            </w:r>
            <w:r>
              <w:rPr>
                <w:rFonts w:hAnsi="黑体" w:eastAsia="黑体"/>
                <w:color w:val="000000"/>
                <w:kern w:val="0"/>
                <w:sz w:val="24"/>
              </w:rPr>
              <w:t>（召开</w:t>
            </w:r>
            <w:r>
              <w:rPr>
                <w:rFonts w:eastAsia="黑体"/>
                <w:color w:val="000000"/>
                <w:kern w:val="0"/>
                <w:sz w:val="24"/>
              </w:rPr>
              <w:t>1</w:t>
            </w:r>
            <w:r>
              <w:rPr>
                <w:rFonts w:hAnsi="黑体" w:eastAsia="黑体"/>
                <w:color w:val="000000"/>
                <w:kern w:val="0"/>
                <w:sz w:val="24"/>
              </w:rPr>
              <w:t>次及以上的，得</w:t>
            </w:r>
            <w:r>
              <w:rPr>
                <w:rFonts w:eastAsia="黑体"/>
                <w:color w:val="000000"/>
                <w:kern w:val="0"/>
                <w:sz w:val="24"/>
              </w:rPr>
              <w:t>3</w:t>
            </w:r>
            <w:r>
              <w:rPr>
                <w:rFonts w:hAnsi="黑体" w:eastAsia="黑体"/>
                <w:color w:val="000000"/>
                <w:kern w:val="0"/>
                <w:sz w:val="24"/>
              </w:rPr>
              <w:t>分；未召开的，得</w:t>
            </w:r>
            <w:r>
              <w:rPr>
                <w:rFonts w:eastAsia="黑体"/>
                <w:color w:val="000000"/>
                <w:kern w:val="0"/>
                <w:sz w:val="24"/>
              </w:rPr>
              <w:t>0</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250" w:hRule="atLeast"/>
          <w:jc w:val="center"/>
        </w:trPr>
        <w:tc>
          <w:tcPr>
            <w:tcW w:w="424" w:type="dxa"/>
            <w:noWrap w:val="0"/>
            <w:vAlign w:val="center"/>
          </w:tcPr>
          <w:p>
            <w:pPr>
              <w:spacing w:line="300" w:lineRule="exact"/>
              <w:jc w:val="center"/>
              <w:rPr>
                <w:color w:val="000000"/>
                <w:kern w:val="0"/>
                <w:sz w:val="24"/>
              </w:rPr>
            </w:pPr>
            <w:r>
              <w:rPr>
                <w:color w:val="000000"/>
                <w:kern w:val="0"/>
                <w:sz w:val="24"/>
              </w:rPr>
              <w:t>3</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rFonts w:hAnsi="仿宋_GB2312"/>
                <w:color w:val="000000"/>
                <w:kern w:val="0"/>
                <w:sz w:val="24"/>
              </w:rPr>
              <w:t>区、县（市）</w:t>
            </w:r>
            <w:r>
              <w:rPr>
                <w:color w:val="000000"/>
                <w:kern w:val="0"/>
                <w:sz w:val="24"/>
              </w:rPr>
              <w:t>党委政府研究部署和协调推进工作情况，主要查看召开党委常委会、政府常务会或其他会议议程、纪要、出席人员等。</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分，未完成得</w:t>
            </w:r>
            <w:r>
              <w:rPr>
                <w:rFonts w:eastAsia="黑体"/>
                <w:color w:val="000000"/>
                <w:kern w:val="0"/>
                <w:sz w:val="24"/>
              </w:rPr>
              <w:t>0</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045" w:hRule="atLeast"/>
          <w:jc w:val="center"/>
        </w:trPr>
        <w:tc>
          <w:tcPr>
            <w:tcW w:w="424" w:type="dxa"/>
            <w:noWrap w:val="0"/>
            <w:vAlign w:val="center"/>
          </w:tcPr>
          <w:p>
            <w:pPr>
              <w:spacing w:line="300" w:lineRule="exact"/>
              <w:jc w:val="center"/>
              <w:rPr>
                <w:color w:val="000000"/>
                <w:kern w:val="0"/>
                <w:sz w:val="24"/>
              </w:rPr>
            </w:pPr>
            <w:r>
              <w:rPr>
                <w:color w:val="000000"/>
                <w:kern w:val="0"/>
                <w:sz w:val="24"/>
              </w:rPr>
              <w:t>4</w:t>
            </w:r>
          </w:p>
        </w:tc>
        <w:tc>
          <w:tcPr>
            <w:tcW w:w="738" w:type="dxa"/>
            <w:vMerge w:val="restart"/>
            <w:noWrap w:val="0"/>
            <w:vAlign w:val="center"/>
          </w:tcPr>
          <w:p>
            <w:pPr>
              <w:spacing w:line="300" w:lineRule="exact"/>
              <w:jc w:val="center"/>
              <w:rPr>
                <w:color w:val="000000"/>
                <w:kern w:val="0"/>
                <w:sz w:val="24"/>
              </w:rPr>
            </w:pPr>
            <w:r>
              <w:rPr>
                <w:color w:val="000000"/>
                <w:kern w:val="0"/>
                <w:sz w:val="24"/>
              </w:rPr>
              <w:t>人才</w:t>
            </w:r>
          </w:p>
          <w:p>
            <w:pPr>
              <w:spacing w:line="300" w:lineRule="exact"/>
              <w:jc w:val="center"/>
              <w:rPr>
                <w:color w:val="000000"/>
                <w:kern w:val="0"/>
                <w:sz w:val="24"/>
              </w:rPr>
            </w:pPr>
            <w:r>
              <w:rPr>
                <w:color w:val="000000"/>
                <w:kern w:val="0"/>
                <w:sz w:val="24"/>
              </w:rPr>
              <w:t>支援</w:t>
            </w:r>
            <w:r>
              <w:rPr>
                <w:color w:val="000000"/>
                <w:spacing w:val="-20"/>
                <w:kern w:val="0"/>
                <w:sz w:val="24"/>
              </w:rPr>
              <w:t>（11）</w:t>
            </w:r>
          </w:p>
        </w:tc>
        <w:tc>
          <w:tcPr>
            <w:tcW w:w="5942" w:type="dxa"/>
            <w:noWrap w:val="0"/>
            <w:vAlign w:val="center"/>
          </w:tcPr>
          <w:p>
            <w:pPr>
              <w:spacing w:line="300" w:lineRule="exact"/>
              <w:rPr>
                <w:color w:val="000000"/>
                <w:kern w:val="0"/>
                <w:sz w:val="24"/>
              </w:rPr>
            </w:pPr>
            <w:r>
              <w:rPr>
                <w:color w:val="000000"/>
                <w:kern w:val="0"/>
                <w:sz w:val="24"/>
              </w:rPr>
              <w:t>按要求选派党政挂职干部到受帮扶地区挂职数，主要查看是否按市委组织部要求选派干部，实际派出人数等情况。</w:t>
            </w:r>
            <w:r>
              <w:rPr>
                <w:rFonts w:hAnsi="黑体" w:eastAsia="黑体"/>
                <w:color w:val="000000"/>
                <w:kern w:val="0"/>
                <w:sz w:val="24"/>
              </w:rPr>
              <w:t>（完成得</w:t>
            </w:r>
            <w:r>
              <w:rPr>
                <w:rFonts w:eastAsia="黑体"/>
                <w:color w:val="000000"/>
                <w:kern w:val="0"/>
                <w:sz w:val="24"/>
              </w:rPr>
              <w:t>2</w:t>
            </w:r>
            <w:r>
              <w:rPr>
                <w:rFonts w:hAnsi="黑体" w:eastAsia="黑体"/>
                <w:color w:val="000000"/>
                <w:kern w:val="0"/>
                <w:sz w:val="24"/>
              </w:rPr>
              <w:t>分，未完成得</w:t>
            </w:r>
            <w:r>
              <w:rPr>
                <w:rFonts w:eastAsia="黑体"/>
                <w:color w:val="000000"/>
                <w:kern w:val="0"/>
                <w:sz w:val="24"/>
              </w:rPr>
              <w:t>0</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2</w:t>
            </w:r>
          </w:p>
        </w:tc>
        <w:tc>
          <w:tcPr>
            <w:tcW w:w="860" w:type="dxa"/>
            <w:vMerge w:val="restart"/>
            <w:noWrap w:val="0"/>
            <w:vAlign w:val="center"/>
          </w:tcPr>
          <w:p>
            <w:pPr>
              <w:spacing w:line="300" w:lineRule="exact"/>
              <w:rPr>
                <w:color w:val="000000"/>
                <w:kern w:val="0"/>
                <w:sz w:val="24"/>
              </w:rPr>
            </w:pPr>
            <w:r>
              <w:rPr>
                <w:color w:val="000000"/>
                <w:kern w:val="0"/>
                <w:sz w:val="24"/>
              </w:rPr>
              <w:t>核验选派文件、干部任免文件等</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435" w:hRule="atLeast"/>
          <w:jc w:val="center"/>
        </w:trPr>
        <w:tc>
          <w:tcPr>
            <w:tcW w:w="424" w:type="dxa"/>
            <w:noWrap w:val="0"/>
            <w:vAlign w:val="center"/>
          </w:tcPr>
          <w:p>
            <w:pPr>
              <w:spacing w:line="300" w:lineRule="exact"/>
              <w:jc w:val="center"/>
              <w:rPr>
                <w:color w:val="000000"/>
                <w:kern w:val="0"/>
                <w:sz w:val="24"/>
              </w:rPr>
            </w:pPr>
            <w:r>
              <w:rPr>
                <w:color w:val="000000"/>
                <w:kern w:val="0"/>
                <w:sz w:val="24"/>
              </w:rPr>
              <w:t>5</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按要求和双方协议选派教师、医生、科技等专业技术人才到受帮扶地区挂职数，主要查看是否制定选派计划、实际派出人数等情况，累计服务要求超过1个月。</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060" w:hRule="atLeast"/>
          <w:jc w:val="center"/>
        </w:trPr>
        <w:tc>
          <w:tcPr>
            <w:tcW w:w="424" w:type="dxa"/>
            <w:noWrap w:val="0"/>
            <w:vAlign w:val="center"/>
          </w:tcPr>
          <w:p>
            <w:pPr>
              <w:spacing w:line="300" w:lineRule="exact"/>
              <w:jc w:val="center"/>
              <w:rPr>
                <w:color w:val="000000"/>
                <w:kern w:val="0"/>
                <w:sz w:val="24"/>
              </w:rPr>
            </w:pPr>
            <w:r>
              <w:rPr>
                <w:color w:val="000000"/>
                <w:kern w:val="0"/>
                <w:sz w:val="24"/>
              </w:rPr>
              <w:t>6</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受帮扶地区党政干部（基层干部）和东西部扶贫协作干部培训情况，主要查看培训时间、地点、内容、人数等。</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restart"/>
            <w:noWrap w:val="0"/>
            <w:vAlign w:val="center"/>
          </w:tcPr>
          <w:p>
            <w:pPr>
              <w:spacing w:line="300" w:lineRule="exact"/>
              <w:rPr>
                <w:color w:val="000000"/>
                <w:kern w:val="0"/>
                <w:sz w:val="24"/>
              </w:rPr>
            </w:pPr>
            <w:r>
              <w:rPr>
                <w:color w:val="000000"/>
                <w:kern w:val="0"/>
                <w:sz w:val="24"/>
              </w:rPr>
              <w:t>核验培训手册、花名册等</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805" w:hRule="atLeast"/>
          <w:jc w:val="center"/>
        </w:trPr>
        <w:tc>
          <w:tcPr>
            <w:tcW w:w="424" w:type="dxa"/>
            <w:tcBorders>
              <w:bottom w:val="single" w:color="auto" w:sz="2" w:space="0"/>
            </w:tcBorders>
            <w:noWrap w:val="0"/>
            <w:vAlign w:val="center"/>
          </w:tcPr>
          <w:p>
            <w:pPr>
              <w:spacing w:line="300" w:lineRule="exact"/>
              <w:jc w:val="center"/>
              <w:rPr>
                <w:color w:val="000000"/>
                <w:kern w:val="0"/>
                <w:sz w:val="24"/>
              </w:rPr>
            </w:pPr>
            <w:r>
              <w:rPr>
                <w:color w:val="000000"/>
                <w:kern w:val="0"/>
                <w:sz w:val="24"/>
              </w:rPr>
              <w:t>7</w:t>
            </w:r>
          </w:p>
        </w:tc>
        <w:tc>
          <w:tcPr>
            <w:tcW w:w="738" w:type="dxa"/>
            <w:vMerge w:val="continue"/>
            <w:tcBorders>
              <w:bottom w:val="single" w:color="auto" w:sz="2" w:space="0"/>
            </w:tcBorders>
            <w:noWrap w:val="0"/>
            <w:vAlign w:val="center"/>
          </w:tcPr>
          <w:p>
            <w:pPr>
              <w:spacing w:line="300" w:lineRule="exact"/>
              <w:jc w:val="center"/>
              <w:rPr>
                <w:color w:val="000000"/>
                <w:kern w:val="0"/>
                <w:sz w:val="24"/>
              </w:rPr>
            </w:pPr>
          </w:p>
        </w:tc>
        <w:tc>
          <w:tcPr>
            <w:tcW w:w="5942" w:type="dxa"/>
            <w:tcBorders>
              <w:bottom w:val="single" w:color="auto" w:sz="2" w:space="0"/>
            </w:tcBorders>
            <w:noWrap w:val="0"/>
            <w:vAlign w:val="center"/>
          </w:tcPr>
          <w:p>
            <w:pPr>
              <w:spacing w:line="300" w:lineRule="exact"/>
              <w:rPr>
                <w:color w:val="000000"/>
                <w:kern w:val="0"/>
                <w:sz w:val="24"/>
              </w:rPr>
            </w:pPr>
            <w:r>
              <w:rPr>
                <w:color w:val="000000"/>
                <w:kern w:val="0"/>
                <w:sz w:val="24"/>
              </w:rPr>
              <w:t>专业技术人才培训情况，主要查看培训时间、地点、内容、人数等。</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165" w:hRule="atLeast"/>
          <w:jc w:val="center"/>
        </w:trPr>
        <w:tc>
          <w:tcPr>
            <w:tcW w:w="424" w:type="dxa"/>
            <w:tcBorders>
              <w:top w:val="single" w:color="auto" w:sz="2" w:space="0"/>
            </w:tcBorders>
            <w:shd w:val="clear" w:color="auto" w:fill="FFFFFF"/>
            <w:noWrap w:val="0"/>
            <w:vAlign w:val="center"/>
          </w:tcPr>
          <w:p>
            <w:pPr>
              <w:spacing w:line="300" w:lineRule="exact"/>
              <w:jc w:val="center"/>
              <w:rPr>
                <w:color w:val="000000"/>
                <w:kern w:val="0"/>
                <w:sz w:val="24"/>
              </w:rPr>
            </w:pPr>
            <w:r>
              <w:rPr>
                <w:color w:val="000000"/>
                <w:kern w:val="0"/>
                <w:sz w:val="24"/>
              </w:rPr>
              <w:t>8</w:t>
            </w:r>
          </w:p>
        </w:tc>
        <w:tc>
          <w:tcPr>
            <w:tcW w:w="738" w:type="dxa"/>
            <w:tcBorders>
              <w:top w:val="single" w:color="auto" w:sz="2" w:space="0"/>
            </w:tcBorders>
            <w:shd w:val="clear" w:color="auto" w:fill="FFFFFF"/>
            <w:noWrap w:val="0"/>
            <w:vAlign w:val="center"/>
          </w:tcPr>
          <w:p>
            <w:pPr>
              <w:spacing w:line="300" w:lineRule="exact"/>
              <w:jc w:val="center"/>
              <w:rPr>
                <w:color w:val="000000"/>
                <w:kern w:val="0"/>
                <w:sz w:val="24"/>
              </w:rPr>
            </w:pPr>
            <w:r>
              <w:rPr>
                <w:color w:val="000000"/>
                <w:kern w:val="0"/>
                <w:sz w:val="24"/>
              </w:rPr>
              <w:t>资金</w:t>
            </w:r>
            <w:r>
              <w:rPr>
                <w:color w:val="000000"/>
                <w:kern w:val="0"/>
                <w:sz w:val="24"/>
              </w:rPr>
              <w:br w:type="textWrapping"/>
            </w:r>
            <w:r>
              <w:rPr>
                <w:color w:val="000000"/>
                <w:kern w:val="0"/>
                <w:sz w:val="24"/>
              </w:rPr>
              <w:t>支持</w:t>
            </w:r>
          </w:p>
          <w:p>
            <w:pPr>
              <w:spacing w:line="300" w:lineRule="exact"/>
              <w:jc w:val="center"/>
              <w:rPr>
                <w:color w:val="000000"/>
                <w:spacing w:val="-20"/>
                <w:kern w:val="0"/>
                <w:sz w:val="24"/>
              </w:rPr>
            </w:pPr>
            <w:r>
              <w:rPr>
                <w:color w:val="000000"/>
                <w:spacing w:val="-20"/>
                <w:kern w:val="0"/>
                <w:sz w:val="24"/>
              </w:rPr>
              <w:t>（4）</w:t>
            </w:r>
          </w:p>
        </w:tc>
        <w:tc>
          <w:tcPr>
            <w:tcW w:w="5942" w:type="dxa"/>
            <w:tcBorders>
              <w:top w:val="single" w:color="auto" w:sz="2" w:space="0"/>
            </w:tcBorders>
            <w:shd w:val="clear" w:color="auto" w:fill="FFFFFF"/>
            <w:noWrap w:val="0"/>
            <w:vAlign w:val="center"/>
          </w:tcPr>
          <w:p>
            <w:pPr>
              <w:spacing w:line="300" w:lineRule="exact"/>
              <w:rPr>
                <w:color w:val="000000"/>
                <w:kern w:val="0"/>
                <w:sz w:val="24"/>
              </w:rPr>
            </w:pPr>
            <w:r>
              <w:rPr>
                <w:color w:val="000000"/>
                <w:kern w:val="0"/>
                <w:sz w:val="24"/>
              </w:rPr>
              <w:t>社会力量向受帮扶地区捐赠款物情况，主要查看捐赠款物数量及相关证明材料等。</w:t>
            </w:r>
            <w:r>
              <w:rPr>
                <w:rFonts w:hAnsi="黑体" w:eastAsia="黑体"/>
                <w:color w:val="000000"/>
                <w:kern w:val="0"/>
                <w:sz w:val="24"/>
              </w:rPr>
              <w:t>（完成得</w:t>
            </w:r>
            <w:r>
              <w:rPr>
                <w:rFonts w:eastAsia="黑体"/>
                <w:color w:val="000000"/>
                <w:kern w:val="0"/>
                <w:sz w:val="24"/>
              </w:rPr>
              <w:t>4</w:t>
            </w:r>
            <w:r>
              <w:rPr>
                <w:rFonts w:hAnsi="黑体" w:eastAsia="黑体"/>
                <w:color w:val="000000"/>
                <w:kern w:val="0"/>
                <w:sz w:val="24"/>
              </w:rPr>
              <w:t>分；未完成的，得分＝</w:t>
            </w:r>
            <w:r>
              <w:rPr>
                <w:rFonts w:eastAsia="黑体"/>
                <w:color w:val="000000"/>
                <w:kern w:val="0"/>
                <w:sz w:val="24"/>
              </w:rPr>
              <w:t>4×</w:t>
            </w:r>
            <w:r>
              <w:rPr>
                <w:rFonts w:hAnsi="黑体" w:eastAsia="黑体"/>
                <w:color w:val="000000"/>
                <w:kern w:val="0"/>
                <w:sz w:val="24"/>
              </w:rPr>
              <w:t>完成率。）</w:t>
            </w:r>
          </w:p>
        </w:tc>
        <w:tc>
          <w:tcPr>
            <w:tcW w:w="910" w:type="dxa"/>
            <w:shd w:val="clear" w:color="auto" w:fill="FFFFFF"/>
            <w:noWrap w:val="0"/>
            <w:vAlign w:val="center"/>
          </w:tcPr>
          <w:p>
            <w:pPr>
              <w:spacing w:line="300" w:lineRule="exact"/>
              <w:jc w:val="center"/>
              <w:rPr>
                <w:color w:val="000000"/>
                <w:kern w:val="0"/>
                <w:sz w:val="24"/>
              </w:rPr>
            </w:pPr>
            <w:r>
              <w:rPr>
                <w:color w:val="000000"/>
                <w:kern w:val="0"/>
                <w:sz w:val="24"/>
              </w:rPr>
              <w:t>4</w:t>
            </w:r>
          </w:p>
        </w:tc>
        <w:tc>
          <w:tcPr>
            <w:tcW w:w="860" w:type="dxa"/>
            <w:vMerge w:val="continue"/>
            <w:shd w:val="clear" w:color="auto" w:fill="FFFFFF"/>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090" w:hRule="atLeast"/>
          <w:jc w:val="center"/>
        </w:trPr>
        <w:tc>
          <w:tcPr>
            <w:tcW w:w="424" w:type="dxa"/>
            <w:noWrap w:val="0"/>
            <w:vAlign w:val="center"/>
          </w:tcPr>
          <w:p>
            <w:pPr>
              <w:spacing w:line="300" w:lineRule="exact"/>
              <w:jc w:val="center"/>
              <w:rPr>
                <w:color w:val="000000"/>
                <w:kern w:val="0"/>
                <w:sz w:val="24"/>
              </w:rPr>
            </w:pPr>
            <w:r>
              <w:rPr>
                <w:color w:val="000000"/>
                <w:kern w:val="0"/>
                <w:sz w:val="24"/>
              </w:rPr>
              <w:t>9</w:t>
            </w:r>
          </w:p>
        </w:tc>
        <w:tc>
          <w:tcPr>
            <w:tcW w:w="738" w:type="dxa"/>
            <w:vMerge w:val="restart"/>
            <w:noWrap w:val="0"/>
            <w:vAlign w:val="center"/>
          </w:tcPr>
          <w:p>
            <w:pPr>
              <w:spacing w:line="300" w:lineRule="exact"/>
              <w:jc w:val="center"/>
              <w:rPr>
                <w:color w:val="000000"/>
                <w:kern w:val="0"/>
                <w:sz w:val="24"/>
              </w:rPr>
            </w:pPr>
            <w:r>
              <w:rPr>
                <w:color w:val="000000"/>
                <w:kern w:val="0"/>
                <w:sz w:val="24"/>
              </w:rPr>
              <w:t>产业</w:t>
            </w:r>
          </w:p>
          <w:p>
            <w:pPr>
              <w:spacing w:line="300" w:lineRule="exact"/>
              <w:jc w:val="center"/>
              <w:rPr>
                <w:color w:val="000000"/>
                <w:kern w:val="0"/>
                <w:sz w:val="24"/>
              </w:rPr>
            </w:pPr>
            <w:r>
              <w:rPr>
                <w:color w:val="000000"/>
                <w:kern w:val="0"/>
                <w:sz w:val="24"/>
              </w:rPr>
              <w:t>合作</w:t>
            </w:r>
          </w:p>
          <w:p>
            <w:pPr>
              <w:spacing w:line="300" w:lineRule="exact"/>
              <w:jc w:val="center"/>
              <w:rPr>
                <w:color w:val="000000"/>
                <w:kern w:val="0"/>
                <w:sz w:val="24"/>
              </w:rPr>
            </w:pPr>
            <w:r>
              <w:rPr>
                <w:color w:val="000000"/>
                <w:kern w:val="0"/>
                <w:sz w:val="24"/>
              </w:rPr>
              <w:t>（12）</w:t>
            </w:r>
          </w:p>
        </w:tc>
        <w:tc>
          <w:tcPr>
            <w:tcW w:w="5942" w:type="dxa"/>
            <w:noWrap w:val="0"/>
            <w:vAlign w:val="center"/>
          </w:tcPr>
          <w:p>
            <w:pPr>
              <w:spacing w:line="300" w:lineRule="exact"/>
              <w:rPr>
                <w:color w:val="000000"/>
                <w:kern w:val="0"/>
                <w:sz w:val="24"/>
              </w:rPr>
            </w:pPr>
            <w:r>
              <w:rPr>
                <w:color w:val="000000"/>
                <w:kern w:val="0"/>
                <w:sz w:val="24"/>
              </w:rPr>
              <w:t>引导企业到受帮扶省份投资兴业个数，主要查看引导企业到四省投资兴业个数。</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restart"/>
            <w:noWrap w:val="0"/>
            <w:vAlign w:val="center"/>
          </w:tcPr>
          <w:p>
            <w:pPr>
              <w:spacing w:line="300" w:lineRule="exact"/>
              <w:rPr>
                <w:color w:val="000000"/>
                <w:kern w:val="0"/>
                <w:sz w:val="24"/>
              </w:rPr>
            </w:pPr>
            <w:r>
              <w:rPr>
                <w:color w:val="000000"/>
                <w:kern w:val="0"/>
                <w:sz w:val="24"/>
              </w:rPr>
              <w:t>核验相关佐证材料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755" w:hRule="atLeast"/>
          <w:jc w:val="center"/>
        </w:trPr>
        <w:tc>
          <w:tcPr>
            <w:tcW w:w="424" w:type="dxa"/>
            <w:noWrap w:val="0"/>
            <w:vAlign w:val="center"/>
          </w:tcPr>
          <w:p>
            <w:pPr>
              <w:spacing w:line="300" w:lineRule="exact"/>
              <w:jc w:val="center"/>
              <w:rPr>
                <w:color w:val="000000"/>
                <w:kern w:val="0"/>
                <w:sz w:val="24"/>
              </w:rPr>
            </w:pPr>
            <w:r>
              <w:rPr>
                <w:color w:val="000000"/>
                <w:kern w:val="0"/>
                <w:sz w:val="24"/>
              </w:rPr>
              <w:t>10</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引导企业实际投资额，主要查看引导企业实际到位资金。</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395" w:hRule="atLeast"/>
          <w:jc w:val="center"/>
        </w:trPr>
        <w:tc>
          <w:tcPr>
            <w:tcW w:w="424" w:type="dxa"/>
            <w:noWrap w:val="0"/>
            <w:vAlign w:val="center"/>
          </w:tcPr>
          <w:p>
            <w:pPr>
              <w:spacing w:line="300" w:lineRule="exact"/>
              <w:jc w:val="center"/>
              <w:rPr>
                <w:color w:val="000000"/>
                <w:kern w:val="0"/>
                <w:sz w:val="24"/>
              </w:rPr>
            </w:pPr>
            <w:r>
              <w:rPr>
                <w:color w:val="000000"/>
                <w:kern w:val="0"/>
                <w:sz w:val="24"/>
              </w:rPr>
              <w:t>11</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带动贫困人员脱贫数，主要查看通过投资兴业、发展产业、吸纳就业，建立利益联结机制或吸纳就业使贫困户收入增加达到或超过该地脱贫标准。</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090" w:hRule="atLeast"/>
          <w:jc w:val="center"/>
        </w:trPr>
        <w:tc>
          <w:tcPr>
            <w:tcW w:w="424" w:type="dxa"/>
            <w:noWrap w:val="0"/>
            <w:vAlign w:val="center"/>
          </w:tcPr>
          <w:p>
            <w:pPr>
              <w:spacing w:line="300" w:lineRule="exact"/>
              <w:jc w:val="center"/>
              <w:rPr>
                <w:color w:val="000000"/>
                <w:kern w:val="0"/>
                <w:sz w:val="24"/>
              </w:rPr>
            </w:pPr>
            <w:r>
              <w:rPr>
                <w:color w:val="000000"/>
                <w:kern w:val="0"/>
                <w:sz w:val="24"/>
              </w:rPr>
              <w:t>12</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消费扶贫（产销对接）情况，主要查看帮助受帮扶地区举办采购和销售农副产品活动、设立专卖店等情况。</w:t>
            </w:r>
            <w:r>
              <w:rPr>
                <w:rFonts w:hAnsi="黑体" w:eastAsia="黑体"/>
                <w:color w:val="000000"/>
                <w:kern w:val="0"/>
                <w:sz w:val="24"/>
              </w:rPr>
              <w:t>（开展工作的得</w:t>
            </w:r>
            <w:r>
              <w:rPr>
                <w:rFonts w:eastAsia="黑体"/>
                <w:color w:val="000000"/>
                <w:kern w:val="0"/>
                <w:sz w:val="24"/>
              </w:rPr>
              <w:t>3</w:t>
            </w:r>
            <w:r>
              <w:rPr>
                <w:rFonts w:hAnsi="黑体" w:eastAsia="黑体"/>
                <w:color w:val="000000"/>
                <w:kern w:val="0"/>
                <w:sz w:val="24"/>
              </w:rPr>
              <w:t>分；未开展的酌情扣分。）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970" w:hRule="atLeast"/>
          <w:jc w:val="center"/>
        </w:trPr>
        <w:tc>
          <w:tcPr>
            <w:tcW w:w="424" w:type="dxa"/>
            <w:noWrap w:val="0"/>
            <w:vAlign w:val="center"/>
          </w:tcPr>
          <w:p>
            <w:pPr>
              <w:spacing w:line="300" w:lineRule="exact"/>
              <w:jc w:val="center"/>
              <w:rPr>
                <w:color w:val="000000"/>
                <w:kern w:val="0"/>
                <w:sz w:val="24"/>
              </w:rPr>
            </w:pPr>
            <w:r>
              <w:rPr>
                <w:color w:val="000000"/>
                <w:kern w:val="0"/>
                <w:sz w:val="24"/>
              </w:rPr>
              <w:t>13</w:t>
            </w:r>
          </w:p>
        </w:tc>
        <w:tc>
          <w:tcPr>
            <w:tcW w:w="738" w:type="dxa"/>
            <w:vMerge w:val="restart"/>
            <w:noWrap w:val="0"/>
            <w:vAlign w:val="center"/>
          </w:tcPr>
          <w:p>
            <w:pPr>
              <w:spacing w:line="300" w:lineRule="exact"/>
              <w:jc w:val="center"/>
              <w:rPr>
                <w:color w:val="000000"/>
                <w:kern w:val="0"/>
                <w:sz w:val="24"/>
              </w:rPr>
            </w:pPr>
            <w:r>
              <w:rPr>
                <w:color w:val="000000"/>
                <w:kern w:val="0"/>
                <w:sz w:val="24"/>
              </w:rPr>
              <w:t>劳务</w:t>
            </w:r>
          </w:p>
          <w:p>
            <w:pPr>
              <w:spacing w:line="300" w:lineRule="exact"/>
              <w:jc w:val="center"/>
              <w:rPr>
                <w:color w:val="000000"/>
                <w:kern w:val="0"/>
                <w:sz w:val="24"/>
              </w:rPr>
            </w:pPr>
            <w:r>
              <w:rPr>
                <w:color w:val="000000"/>
                <w:kern w:val="0"/>
                <w:sz w:val="24"/>
              </w:rPr>
              <w:t>协作（18）</w:t>
            </w:r>
          </w:p>
        </w:tc>
        <w:tc>
          <w:tcPr>
            <w:tcW w:w="5942" w:type="dxa"/>
            <w:noWrap w:val="0"/>
            <w:vAlign w:val="center"/>
          </w:tcPr>
          <w:p>
            <w:pPr>
              <w:spacing w:line="300" w:lineRule="exact"/>
              <w:rPr>
                <w:color w:val="000000"/>
                <w:kern w:val="0"/>
                <w:sz w:val="24"/>
              </w:rPr>
            </w:pPr>
            <w:r>
              <w:rPr>
                <w:color w:val="000000"/>
                <w:kern w:val="0"/>
                <w:sz w:val="24"/>
              </w:rPr>
              <w:t>出台优惠措施帮助贫困人口在我市稳定就业人数，主要查看出台政策鼓励中西部22个省份贫困人口在本区、县（市）稳定就业人数。</w:t>
            </w:r>
            <w:r>
              <w:rPr>
                <w:rFonts w:hAnsi="黑体" w:eastAsia="黑体"/>
                <w:color w:val="000000"/>
                <w:kern w:val="0"/>
                <w:sz w:val="24"/>
              </w:rPr>
              <w:t>（前二得</w:t>
            </w:r>
            <w:r>
              <w:rPr>
                <w:rFonts w:eastAsia="黑体"/>
                <w:color w:val="000000"/>
                <w:kern w:val="0"/>
                <w:sz w:val="24"/>
              </w:rPr>
              <w:t>3</w:t>
            </w:r>
            <w:r>
              <w:rPr>
                <w:rFonts w:hAnsi="黑体" w:eastAsia="黑体"/>
                <w:color w:val="000000"/>
                <w:kern w:val="0"/>
                <w:sz w:val="24"/>
              </w:rPr>
              <w:t>分，完成任务得</w:t>
            </w:r>
            <w:r>
              <w:rPr>
                <w:rFonts w:eastAsia="黑体"/>
                <w:color w:val="000000"/>
                <w:kern w:val="0"/>
                <w:sz w:val="24"/>
              </w:rPr>
              <w:t>2</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restart"/>
            <w:noWrap w:val="0"/>
            <w:vAlign w:val="center"/>
          </w:tcPr>
          <w:p>
            <w:pPr>
              <w:spacing w:line="300" w:lineRule="exact"/>
              <w:rPr>
                <w:color w:val="000000"/>
                <w:kern w:val="0"/>
                <w:sz w:val="24"/>
              </w:rPr>
            </w:pPr>
            <w:r>
              <w:rPr>
                <w:color w:val="000000"/>
                <w:kern w:val="0"/>
                <w:sz w:val="24"/>
              </w:rPr>
              <w:t>核验相关佐证材料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000" w:hRule="atLeast"/>
          <w:jc w:val="center"/>
        </w:trPr>
        <w:tc>
          <w:tcPr>
            <w:tcW w:w="424" w:type="dxa"/>
            <w:noWrap w:val="0"/>
            <w:vAlign w:val="center"/>
          </w:tcPr>
          <w:p>
            <w:pPr>
              <w:spacing w:line="300" w:lineRule="exact"/>
              <w:jc w:val="center"/>
              <w:rPr>
                <w:color w:val="000000"/>
                <w:kern w:val="0"/>
                <w:sz w:val="24"/>
              </w:rPr>
            </w:pPr>
            <w:r>
              <w:rPr>
                <w:color w:val="000000"/>
                <w:kern w:val="0"/>
                <w:sz w:val="24"/>
              </w:rPr>
              <w:t>14</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帮助对口帮扶四省贫困人口到本区、县（市）就业，主要查看组织、吸纳建档立卡贫困人口到本区、县（市）就业3个月以上的人数。</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90" w:hRule="atLeast"/>
          <w:jc w:val="center"/>
        </w:trPr>
        <w:tc>
          <w:tcPr>
            <w:tcW w:w="424" w:type="dxa"/>
            <w:noWrap w:val="0"/>
            <w:vAlign w:val="center"/>
          </w:tcPr>
          <w:p>
            <w:pPr>
              <w:spacing w:line="300" w:lineRule="exact"/>
              <w:jc w:val="center"/>
              <w:rPr>
                <w:color w:val="000000"/>
                <w:kern w:val="0"/>
                <w:sz w:val="24"/>
              </w:rPr>
            </w:pPr>
            <w:r>
              <w:rPr>
                <w:color w:val="000000"/>
                <w:kern w:val="0"/>
                <w:sz w:val="24"/>
              </w:rPr>
              <w:t>15</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帮助中西部其他省份贫困人口到本区、县（市）就业数，主要查看组织、吸纳中西部其他省份建档立卡贫困人口到本区、县（市）就业3个月以上的人数。</w:t>
            </w:r>
            <w:r>
              <w:rPr>
                <w:rFonts w:hAnsi="黑体" w:eastAsia="黑体"/>
                <w:color w:val="000000"/>
                <w:kern w:val="0"/>
                <w:sz w:val="24"/>
              </w:rPr>
              <w:t>（完成得</w:t>
            </w:r>
            <w:r>
              <w:rPr>
                <w:rFonts w:eastAsia="黑体"/>
                <w:color w:val="000000"/>
                <w:kern w:val="0"/>
                <w:sz w:val="24"/>
              </w:rPr>
              <w:t>3</w:t>
            </w:r>
            <w:r>
              <w:rPr>
                <w:rFonts w:hAnsi="黑体" w:eastAsia="黑体"/>
                <w:color w:val="000000"/>
                <w:kern w:val="0"/>
                <w:sz w:val="24"/>
              </w:rPr>
              <w:t>分；未完成的，得分＝</w:t>
            </w:r>
            <w:r>
              <w:rPr>
                <w:rFonts w:eastAsia="黑体"/>
                <w:color w:val="000000"/>
                <w:kern w:val="0"/>
                <w:sz w:val="24"/>
              </w:rPr>
              <w:t>3×</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330" w:hRule="atLeast"/>
          <w:jc w:val="center"/>
        </w:trPr>
        <w:tc>
          <w:tcPr>
            <w:tcW w:w="424" w:type="dxa"/>
            <w:noWrap w:val="0"/>
            <w:vAlign w:val="center"/>
          </w:tcPr>
          <w:p>
            <w:pPr>
              <w:spacing w:line="300" w:lineRule="exact"/>
              <w:jc w:val="center"/>
              <w:rPr>
                <w:color w:val="000000"/>
                <w:kern w:val="0"/>
                <w:sz w:val="24"/>
              </w:rPr>
            </w:pPr>
            <w:r>
              <w:rPr>
                <w:color w:val="000000"/>
                <w:kern w:val="0"/>
                <w:sz w:val="24"/>
              </w:rPr>
              <w:t>16</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帮助对口帮扶四省贫困人口在所在省份就近就业数，主要查看通过建设扶贫车间、提供公益岗位、开展培训等方式帮助受帮扶省份贫困人员在所在省份就近就业。</w:t>
            </w:r>
            <w:r>
              <w:rPr>
                <w:rFonts w:hAnsi="黑体" w:eastAsia="黑体"/>
                <w:color w:val="000000"/>
                <w:kern w:val="0"/>
                <w:sz w:val="24"/>
              </w:rPr>
              <w:t>（前二名</w:t>
            </w:r>
            <w:r>
              <w:rPr>
                <w:rFonts w:eastAsia="黑体"/>
                <w:color w:val="000000"/>
                <w:kern w:val="0"/>
                <w:sz w:val="24"/>
              </w:rPr>
              <w:t>3</w:t>
            </w:r>
            <w:r>
              <w:rPr>
                <w:rFonts w:hAnsi="黑体" w:eastAsia="黑体"/>
                <w:color w:val="000000"/>
                <w:kern w:val="0"/>
                <w:sz w:val="24"/>
              </w:rPr>
              <w:t>分，完成任务得</w:t>
            </w:r>
            <w:r>
              <w:rPr>
                <w:rFonts w:eastAsia="黑体"/>
                <w:color w:val="000000"/>
                <w:kern w:val="0"/>
                <w:sz w:val="24"/>
              </w:rPr>
              <w:t>2</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832" w:hRule="atLeast"/>
          <w:jc w:val="center"/>
        </w:trPr>
        <w:tc>
          <w:tcPr>
            <w:tcW w:w="424" w:type="dxa"/>
            <w:noWrap w:val="0"/>
            <w:vAlign w:val="center"/>
          </w:tcPr>
          <w:p>
            <w:pPr>
              <w:spacing w:line="300" w:lineRule="exact"/>
              <w:jc w:val="center"/>
              <w:rPr>
                <w:color w:val="000000"/>
                <w:kern w:val="0"/>
                <w:sz w:val="24"/>
              </w:rPr>
            </w:pPr>
            <w:r>
              <w:rPr>
                <w:color w:val="000000"/>
                <w:kern w:val="0"/>
                <w:sz w:val="24"/>
              </w:rPr>
              <w:t>17</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帮助对口帮扶四省贫困人口到外地就业情况，主要查看贫困人口到结对以外省份就业人数。</w:t>
            </w:r>
            <w:r>
              <w:rPr>
                <w:rFonts w:hAnsi="黑体" w:eastAsia="黑体"/>
                <w:color w:val="000000"/>
                <w:kern w:val="0"/>
                <w:sz w:val="24"/>
              </w:rPr>
              <w:t>（前二名</w:t>
            </w:r>
            <w:r>
              <w:rPr>
                <w:rFonts w:eastAsia="黑体"/>
                <w:color w:val="000000"/>
                <w:kern w:val="0"/>
                <w:sz w:val="24"/>
              </w:rPr>
              <w:t>3</w:t>
            </w:r>
            <w:r>
              <w:rPr>
                <w:rFonts w:hAnsi="黑体" w:eastAsia="黑体"/>
                <w:color w:val="000000"/>
                <w:kern w:val="0"/>
                <w:sz w:val="24"/>
              </w:rPr>
              <w:t>分，完成任务得</w:t>
            </w:r>
            <w:r>
              <w:rPr>
                <w:rFonts w:eastAsia="黑体"/>
                <w:color w:val="000000"/>
                <w:kern w:val="0"/>
                <w:sz w:val="24"/>
              </w:rPr>
              <w:t>2</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615" w:hRule="atLeast"/>
          <w:jc w:val="center"/>
        </w:trPr>
        <w:tc>
          <w:tcPr>
            <w:tcW w:w="424" w:type="dxa"/>
            <w:noWrap w:val="0"/>
            <w:vAlign w:val="center"/>
          </w:tcPr>
          <w:p>
            <w:pPr>
              <w:spacing w:line="300" w:lineRule="exact"/>
              <w:jc w:val="center"/>
              <w:rPr>
                <w:color w:val="000000"/>
                <w:kern w:val="0"/>
                <w:sz w:val="24"/>
              </w:rPr>
            </w:pPr>
            <w:r>
              <w:rPr>
                <w:color w:val="000000"/>
                <w:kern w:val="0"/>
                <w:sz w:val="24"/>
              </w:rPr>
              <w:t>18</w:t>
            </w:r>
          </w:p>
        </w:tc>
        <w:tc>
          <w:tcPr>
            <w:tcW w:w="738" w:type="dxa"/>
            <w:vMerge w:val="continue"/>
            <w:noWrap w:val="0"/>
            <w:vAlign w:val="center"/>
          </w:tcPr>
          <w:p>
            <w:pPr>
              <w:spacing w:line="300" w:lineRule="exact"/>
              <w:jc w:val="center"/>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组织贫困学生到本区、县（市）就读职业院校推荐就业情况，主要查看就读人数、就业人数等情况。</w:t>
            </w:r>
            <w:r>
              <w:rPr>
                <w:rFonts w:hAnsi="黑体" w:eastAsia="黑体"/>
                <w:color w:val="000000"/>
                <w:kern w:val="0"/>
                <w:sz w:val="24"/>
              </w:rPr>
              <w:t>（</w:t>
            </w:r>
            <w:r>
              <w:rPr>
                <w:rFonts w:hAnsi="黑体" w:eastAsia="黑体"/>
                <w:color w:val="000000"/>
                <w:spacing w:val="-6"/>
                <w:kern w:val="0"/>
                <w:sz w:val="24"/>
              </w:rPr>
              <w:t>就读人数前二名</w:t>
            </w:r>
            <w:r>
              <w:rPr>
                <w:rFonts w:eastAsia="黑体"/>
                <w:color w:val="000000"/>
                <w:spacing w:val="-6"/>
                <w:kern w:val="0"/>
                <w:sz w:val="24"/>
              </w:rPr>
              <w:t>3</w:t>
            </w:r>
            <w:r>
              <w:rPr>
                <w:rFonts w:hAnsi="黑体" w:eastAsia="黑体"/>
                <w:color w:val="000000"/>
                <w:spacing w:val="-6"/>
                <w:kern w:val="0"/>
                <w:sz w:val="24"/>
              </w:rPr>
              <w:t>分，完成任务得</w:t>
            </w:r>
            <w:r>
              <w:rPr>
                <w:rFonts w:eastAsia="黑体"/>
                <w:color w:val="000000"/>
                <w:spacing w:val="-6"/>
                <w:kern w:val="0"/>
                <w:sz w:val="24"/>
              </w:rPr>
              <w:t>2</w:t>
            </w:r>
            <w:r>
              <w:rPr>
                <w:rFonts w:hAnsi="黑体" w:eastAsia="黑体"/>
                <w:color w:val="000000"/>
                <w:spacing w:val="-6"/>
                <w:kern w:val="0"/>
                <w:sz w:val="24"/>
              </w:rPr>
              <w:t>分，无则</w:t>
            </w:r>
            <w:r>
              <w:rPr>
                <w:rFonts w:eastAsia="黑体"/>
                <w:color w:val="000000"/>
                <w:spacing w:val="-6"/>
                <w:kern w:val="0"/>
                <w:sz w:val="24"/>
              </w:rPr>
              <w:t>0</w:t>
            </w:r>
            <w:r>
              <w:rPr>
                <w:rFonts w:hAnsi="黑体" w:eastAsia="黑体"/>
                <w:color w:val="000000"/>
                <w:spacing w:val="-6"/>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3</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720" w:hRule="atLeast"/>
          <w:jc w:val="center"/>
        </w:trPr>
        <w:tc>
          <w:tcPr>
            <w:tcW w:w="424" w:type="dxa"/>
            <w:noWrap w:val="0"/>
            <w:vAlign w:val="center"/>
          </w:tcPr>
          <w:p>
            <w:pPr>
              <w:spacing w:line="300" w:lineRule="exact"/>
              <w:jc w:val="center"/>
              <w:rPr>
                <w:color w:val="000000"/>
                <w:kern w:val="0"/>
                <w:sz w:val="24"/>
              </w:rPr>
            </w:pPr>
            <w:r>
              <w:rPr>
                <w:color w:val="000000"/>
                <w:kern w:val="0"/>
                <w:sz w:val="24"/>
              </w:rPr>
              <w:t>19</w:t>
            </w:r>
          </w:p>
        </w:tc>
        <w:tc>
          <w:tcPr>
            <w:tcW w:w="738" w:type="dxa"/>
            <w:vMerge w:val="restart"/>
            <w:noWrap w:val="0"/>
            <w:vAlign w:val="center"/>
          </w:tcPr>
          <w:p>
            <w:pPr>
              <w:spacing w:line="300" w:lineRule="exact"/>
              <w:jc w:val="center"/>
              <w:rPr>
                <w:color w:val="000000"/>
                <w:kern w:val="0"/>
                <w:sz w:val="24"/>
              </w:rPr>
            </w:pPr>
            <w:r>
              <w:rPr>
                <w:color w:val="000000"/>
                <w:kern w:val="0"/>
                <w:sz w:val="24"/>
              </w:rPr>
              <w:t>携手</w:t>
            </w:r>
          </w:p>
          <w:p>
            <w:pPr>
              <w:spacing w:line="300" w:lineRule="exact"/>
              <w:jc w:val="center"/>
              <w:rPr>
                <w:color w:val="000000"/>
                <w:kern w:val="0"/>
                <w:sz w:val="24"/>
              </w:rPr>
            </w:pPr>
            <w:r>
              <w:rPr>
                <w:color w:val="000000"/>
                <w:kern w:val="0"/>
                <w:sz w:val="24"/>
              </w:rPr>
              <w:t>奔小康（15）</w:t>
            </w:r>
          </w:p>
        </w:tc>
        <w:tc>
          <w:tcPr>
            <w:tcW w:w="5942" w:type="dxa"/>
            <w:noWrap w:val="0"/>
            <w:vAlign w:val="center"/>
          </w:tcPr>
          <w:p>
            <w:pPr>
              <w:spacing w:line="300" w:lineRule="exact"/>
              <w:rPr>
                <w:color w:val="000000"/>
                <w:kern w:val="0"/>
                <w:sz w:val="24"/>
              </w:rPr>
            </w:pPr>
            <w:r>
              <w:rPr>
                <w:color w:val="000000"/>
                <w:kern w:val="0"/>
                <w:sz w:val="24"/>
              </w:rPr>
              <w:t>党委或政府主要领导赴结对的受帮扶县考察对接情况，主要查看带队调研对接党政主要负责同志姓名及职务、对接时间，一个县与多个受帮扶县结对的，都要去调研对接。</w:t>
            </w:r>
            <w:r>
              <w:rPr>
                <w:rFonts w:hAnsi="黑体" w:eastAsia="黑体"/>
                <w:color w:val="000000"/>
                <w:kern w:val="0"/>
                <w:sz w:val="24"/>
              </w:rPr>
              <w:t>（按辖区内承担任务县的实际对接率赋分，</w:t>
            </w:r>
            <w:r>
              <w:rPr>
                <w:rFonts w:eastAsia="黑体"/>
                <w:color w:val="000000"/>
                <w:kern w:val="0"/>
                <w:sz w:val="24"/>
              </w:rPr>
              <w:t>100%</w:t>
            </w:r>
            <w:r>
              <w:rPr>
                <w:rFonts w:hAnsi="黑体" w:eastAsia="黑体"/>
                <w:color w:val="000000"/>
                <w:kern w:val="0"/>
                <w:sz w:val="24"/>
              </w:rPr>
              <w:t>的得</w:t>
            </w:r>
            <w:r>
              <w:rPr>
                <w:rFonts w:eastAsia="黑体"/>
                <w:color w:val="000000"/>
                <w:kern w:val="0"/>
                <w:sz w:val="24"/>
              </w:rPr>
              <w:t>2</w:t>
            </w:r>
            <w:r>
              <w:rPr>
                <w:rFonts w:hAnsi="黑体" w:eastAsia="黑体"/>
                <w:color w:val="000000"/>
                <w:kern w:val="0"/>
                <w:sz w:val="24"/>
              </w:rPr>
              <w:t>分，未完成的得</w:t>
            </w:r>
            <w:r>
              <w:rPr>
                <w:rFonts w:eastAsia="黑体"/>
                <w:color w:val="000000"/>
                <w:kern w:val="0"/>
                <w:sz w:val="24"/>
              </w:rPr>
              <w:t>0</w:t>
            </w:r>
            <w:r>
              <w:rPr>
                <w:rFonts w:hAnsi="黑体" w:eastAsia="黑体"/>
                <w:color w:val="000000"/>
                <w:kern w:val="0"/>
                <w:sz w:val="24"/>
              </w:rPr>
              <w:t>分。）</w:t>
            </w:r>
          </w:p>
        </w:tc>
        <w:tc>
          <w:tcPr>
            <w:tcW w:w="910" w:type="dxa"/>
            <w:noWrap w:val="0"/>
            <w:vAlign w:val="center"/>
          </w:tcPr>
          <w:p>
            <w:pPr>
              <w:spacing w:line="300" w:lineRule="exact"/>
              <w:jc w:val="center"/>
              <w:rPr>
                <w:color w:val="000000"/>
                <w:kern w:val="0"/>
                <w:sz w:val="24"/>
              </w:rPr>
            </w:pPr>
            <w:r>
              <w:rPr>
                <w:color w:val="000000"/>
                <w:kern w:val="0"/>
                <w:sz w:val="24"/>
              </w:rPr>
              <w:t>2</w:t>
            </w:r>
          </w:p>
        </w:tc>
        <w:tc>
          <w:tcPr>
            <w:tcW w:w="860" w:type="dxa"/>
            <w:vMerge w:val="restart"/>
            <w:noWrap w:val="0"/>
            <w:vAlign w:val="center"/>
          </w:tcPr>
          <w:p>
            <w:pPr>
              <w:spacing w:line="300" w:lineRule="exact"/>
              <w:rPr>
                <w:color w:val="000000"/>
                <w:kern w:val="0"/>
                <w:sz w:val="24"/>
              </w:rPr>
            </w:pPr>
            <w:r>
              <w:rPr>
                <w:color w:val="000000"/>
                <w:kern w:val="0"/>
                <w:sz w:val="24"/>
              </w:rPr>
              <w:t>现场核验相关佐证材料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1735" w:hRule="atLeast"/>
          <w:jc w:val="center"/>
        </w:trPr>
        <w:tc>
          <w:tcPr>
            <w:tcW w:w="424" w:type="dxa"/>
            <w:noWrap w:val="0"/>
            <w:vAlign w:val="center"/>
          </w:tcPr>
          <w:p>
            <w:pPr>
              <w:spacing w:line="300" w:lineRule="exact"/>
              <w:jc w:val="center"/>
              <w:rPr>
                <w:color w:val="000000"/>
                <w:kern w:val="0"/>
                <w:sz w:val="24"/>
              </w:rPr>
            </w:pPr>
            <w:r>
              <w:rPr>
                <w:color w:val="000000"/>
                <w:kern w:val="0"/>
                <w:sz w:val="24"/>
              </w:rPr>
              <w:t>20</w:t>
            </w:r>
          </w:p>
        </w:tc>
        <w:tc>
          <w:tcPr>
            <w:tcW w:w="738" w:type="dxa"/>
            <w:vMerge w:val="continue"/>
            <w:noWrap w:val="0"/>
            <w:vAlign w:val="center"/>
          </w:tcPr>
          <w:p>
            <w:pPr>
              <w:spacing w:line="300" w:lineRule="exact"/>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结对帮扶情况，主要查看村企结对、学校结对、医院结对等情况。</w:t>
            </w:r>
            <w:r>
              <w:rPr>
                <w:rFonts w:hAnsi="黑体" w:eastAsia="黑体"/>
                <w:color w:val="000000"/>
                <w:kern w:val="0"/>
                <w:sz w:val="24"/>
              </w:rPr>
              <w:t>（村企结对</w:t>
            </w:r>
            <w:r>
              <w:rPr>
                <w:rFonts w:eastAsia="黑体"/>
                <w:color w:val="000000"/>
                <w:kern w:val="0"/>
                <w:sz w:val="24"/>
              </w:rPr>
              <w:t>3</w:t>
            </w:r>
            <w:r>
              <w:rPr>
                <w:rFonts w:hAnsi="黑体" w:eastAsia="黑体"/>
                <w:color w:val="000000"/>
                <w:kern w:val="0"/>
                <w:sz w:val="24"/>
              </w:rPr>
              <w:t>分：完成得</w:t>
            </w:r>
            <w:r>
              <w:rPr>
                <w:rFonts w:eastAsia="黑体"/>
                <w:color w:val="000000"/>
                <w:kern w:val="0"/>
                <w:sz w:val="24"/>
              </w:rPr>
              <w:t>3</w:t>
            </w:r>
            <w:r>
              <w:rPr>
                <w:rFonts w:hAnsi="黑体" w:eastAsia="黑体"/>
                <w:color w:val="000000"/>
                <w:kern w:val="0"/>
                <w:sz w:val="24"/>
              </w:rPr>
              <w:t>分；未完成任务的，得分＝</w:t>
            </w:r>
            <w:r>
              <w:rPr>
                <w:rFonts w:eastAsia="黑体"/>
                <w:color w:val="000000"/>
                <w:kern w:val="0"/>
                <w:sz w:val="24"/>
              </w:rPr>
              <w:t>3×</w:t>
            </w:r>
            <w:r>
              <w:rPr>
                <w:rFonts w:hAnsi="黑体" w:eastAsia="黑体"/>
                <w:color w:val="000000"/>
                <w:kern w:val="0"/>
                <w:sz w:val="24"/>
              </w:rPr>
              <w:t>完成率。学校结对</w:t>
            </w:r>
            <w:r>
              <w:rPr>
                <w:rFonts w:eastAsia="黑体"/>
                <w:color w:val="000000"/>
                <w:kern w:val="0"/>
                <w:sz w:val="24"/>
              </w:rPr>
              <w:t>2</w:t>
            </w:r>
            <w:r>
              <w:rPr>
                <w:rFonts w:hAnsi="黑体" w:eastAsia="黑体"/>
                <w:color w:val="000000"/>
                <w:kern w:val="0"/>
                <w:sz w:val="24"/>
              </w:rPr>
              <w:t>分：完成得</w:t>
            </w:r>
            <w:r>
              <w:rPr>
                <w:rFonts w:eastAsia="黑体"/>
                <w:color w:val="000000"/>
                <w:kern w:val="0"/>
                <w:sz w:val="24"/>
              </w:rPr>
              <w:t>2</w:t>
            </w:r>
            <w:r>
              <w:rPr>
                <w:rFonts w:hAnsi="黑体" w:eastAsia="黑体"/>
                <w:color w:val="000000"/>
                <w:kern w:val="0"/>
                <w:sz w:val="24"/>
              </w:rPr>
              <w:t>分；未完成任务的，得分＝</w:t>
            </w:r>
            <w:r>
              <w:rPr>
                <w:rFonts w:eastAsia="黑体"/>
                <w:color w:val="000000"/>
                <w:kern w:val="0"/>
                <w:sz w:val="24"/>
              </w:rPr>
              <w:t>2×</w:t>
            </w:r>
            <w:r>
              <w:rPr>
                <w:rFonts w:hAnsi="黑体" w:eastAsia="黑体"/>
                <w:color w:val="000000"/>
                <w:kern w:val="0"/>
                <w:sz w:val="24"/>
              </w:rPr>
              <w:t>完成率。医院结对</w:t>
            </w:r>
            <w:r>
              <w:rPr>
                <w:rFonts w:eastAsia="黑体"/>
                <w:color w:val="000000"/>
                <w:kern w:val="0"/>
                <w:sz w:val="24"/>
              </w:rPr>
              <w:t>2</w:t>
            </w:r>
            <w:r>
              <w:rPr>
                <w:rFonts w:hAnsi="黑体" w:eastAsia="黑体"/>
                <w:color w:val="000000"/>
                <w:kern w:val="0"/>
                <w:sz w:val="24"/>
              </w:rPr>
              <w:t>分：完成得</w:t>
            </w:r>
            <w:r>
              <w:rPr>
                <w:rFonts w:eastAsia="黑体"/>
                <w:color w:val="000000"/>
                <w:kern w:val="0"/>
                <w:sz w:val="24"/>
              </w:rPr>
              <w:t>2</w:t>
            </w:r>
            <w:r>
              <w:rPr>
                <w:rFonts w:hAnsi="黑体" w:eastAsia="黑体"/>
                <w:color w:val="000000"/>
                <w:kern w:val="0"/>
                <w:sz w:val="24"/>
              </w:rPr>
              <w:t>分；未完成任务的，得分＝</w:t>
            </w:r>
            <w:r>
              <w:rPr>
                <w:rFonts w:eastAsia="黑体"/>
                <w:color w:val="000000"/>
                <w:kern w:val="0"/>
                <w:sz w:val="24"/>
              </w:rPr>
              <w:t>2×</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7</w:t>
            </w:r>
          </w:p>
        </w:tc>
        <w:tc>
          <w:tcPr>
            <w:tcW w:w="860" w:type="dxa"/>
            <w:vMerge w:val="continue"/>
            <w:noWrap w:val="0"/>
            <w:vAlign w:val="center"/>
          </w:tcPr>
          <w:p>
            <w:pPr>
              <w:spacing w:line="300" w:lineRule="exact"/>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15" w:type="dxa"/>
            <w:left w:w="15" w:type="dxa"/>
            <w:bottom w:w="15" w:type="dxa"/>
            <w:right w:w="15" w:type="dxa"/>
          </w:tblCellMar>
        </w:tblPrEx>
        <w:trPr>
          <w:trHeight w:val="2055" w:hRule="atLeast"/>
          <w:jc w:val="center"/>
        </w:trPr>
        <w:tc>
          <w:tcPr>
            <w:tcW w:w="424" w:type="dxa"/>
            <w:noWrap w:val="0"/>
            <w:vAlign w:val="center"/>
          </w:tcPr>
          <w:p>
            <w:pPr>
              <w:spacing w:line="300" w:lineRule="exact"/>
              <w:jc w:val="center"/>
              <w:rPr>
                <w:color w:val="000000"/>
                <w:kern w:val="0"/>
                <w:sz w:val="24"/>
              </w:rPr>
            </w:pPr>
            <w:r>
              <w:rPr>
                <w:color w:val="000000"/>
                <w:kern w:val="0"/>
                <w:sz w:val="24"/>
              </w:rPr>
              <w:t>21</w:t>
            </w:r>
          </w:p>
        </w:tc>
        <w:tc>
          <w:tcPr>
            <w:tcW w:w="738" w:type="dxa"/>
            <w:vMerge w:val="continue"/>
            <w:noWrap w:val="0"/>
            <w:vAlign w:val="center"/>
          </w:tcPr>
          <w:p>
            <w:pPr>
              <w:spacing w:line="300" w:lineRule="exact"/>
              <w:rPr>
                <w:color w:val="000000"/>
                <w:kern w:val="0"/>
                <w:sz w:val="24"/>
              </w:rPr>
            </w:pPr>
          </w:p>
        </w:tc>
        <w:tc>
          <w:tcPr>
            <w:tcW w:w="5942" w:type="dxa"/>
            <w:noWrap w:val="0"/>
            <w:vAlign w:val="center"/>
          </w:tcPr>
          <w:p>
            <w:pPr>
              <w:spacing w:line="300" w:lineRule="exact"/>
              <w:rPr>
                <w:color w:val="000000"/>
                <w:kern w:val="0"/>
                <w:sz w:val="24"/>
              </w:rPr>
            </w:pPr>
            <w:r>
              <w:rPr>
                <w:color w:val="000000"/>
                <w:kern w:val="0"/>
                <w:sz w:val="24"/>
              </w:rPr>
              <w:t>贫困村创业致富带头人培训情况，主要查看培训人数、创业成功人数、带动贫困参与人数。</w:t>
            </w:r>
            <w:r>
              <w:rPr>
                <w:rFonts w:hAnsi="黑体" w:eastAsia="黑体"/>
                <w:color w:val="000000"/>
                <w:kern w:val="0"/>
                <w:sz w:val="24"/>
              </w:rPr>
              <w:t>（培训人数</w:t>
            </w:r>
            <w:r>
              <w:rPr>
                <w:rFonts w:eastAsia="黑体"/>
                <w:color w:val="000000"/>
                <w:kern w:val="0"/>
                <w:sz w:val="24"/>
              </w:rPr>
              <w:t>2</w:t>
            </w:r>
            <w:r>
              <w:rPr>
                <w:rFonts w:hAnsi="黑体" w:eastAsia="黑体"/>
                <w:color w:val="000000"/>
                <w:kern w:val="0"/>
                <w:sz w:val="24"/>
              </w:rPr>
              <w:t>分：完成任务的，得</w:t>
            </w:r>
            <w:r>
              <w:rPr>
                <w:rFonts w:eastAsia="黑体"/>
                <w:color w:val="000000"/>
                <w:kern w:val="0"/>
                <w:sz w:val="24"/>
              </w:rPr>
              <w:t>2</w:t>
            </w:r>
            <w:r>
              <w:rPr>
                <w:rFonts w:hAnsi="黑体" w:eastAsia="黑体"/>
                <w:color w:val="000000"/>
                <w:kern w:val="0"/>
                <w:sz w:val="24"/>
              </w:rPr>
              <w:t>分；未完成任务的，得分＝</w:t>
            </w:r>
            <w:r>
              <w:rPr>
                <w:rFonts w:eastAsia="黑体"/>
                <w:color w:val="000000"/>
                <w:kern w:val="0"/>
                <w:sz w:val="24"/>
              </w:rPr>
              <w:t>2×</w:t>
            </w:r>
            <w:r>
              <w:rPr>
                <w:rFonts w:hAnsi="黑体" w:eastAsia="黑体"/>
                <w:color w:val="000000"/>
                <w:kern w:val="0"/>
                <w:sz w:val="24"/>
              </w:rPr>
              <w:t>完成率。创业成功人数</w:t>
            </w:r>
            <w:r>
              <w:rPr>
                <w:rFonts w:eastAsia="黑体"/>
                <w:color w:val="000000"/>
                <w:kern w:val="0"/>
                <w:sz w:val="24"/>
              </w:rPr>
              <w:t>2</w:t>
            </w:r>
            <w:r>
              <w:rPr>
                <w:rFonts w:hAnsi="黑体" w:eastAsia="黑体"/>
                <w:color w:val="000000"/>
                <w:kern w:val="0"/>
                <w:sz w:val="24"/>
              </w:rPr>
              <w:t>分：完成得</w:t>
            </w:r>
            <w:r>
              <w:rPr>
                <w:rFonts w:eastAsia="黑体"/>
                <w:color w:val="000000"/>
                <w:kern w:val="0"/>
                <w:sz w:val="24"/>
              </w:rPr>
              <w:t>2</w:t>
            </w:r>
            <w:r>
              <w:rPr>
                <w:rFonts w:hAnsi="黑体" w:eastAsia="黑体"/>
                <w:color w:val="000000"/>
                <w:kern w:val="0"/>
                <w:sz w:val="24"/>
              </w:rPr>
              <w:t>分；未完成任务的，得分＝</w:t>
            </w:r>
            <w:r>
              <w:rPr>
                <w:rFonts w:eastAsia="黑体"/>
                <w:color w:val="000000"/>
                <w:kern w:val="0"/>
                <w:sz w:val="24"/>
              </w:rPr>
              <w:t>2×</w:t>
            </w:r>
            <w:r>
              <w:rPr>
                <w:rFonts w:hAnsi="黑体" w:eastAsia="黑体"/>
                <w:color w:val="000000"/>
                <w:kern w:val="0"/>
                <w:sz w:val="24"/>
              </w:rPr>
              <w:t>完成率。带动贫困参与人数</w:t>
            </w:r>
            <w:r>
              <w:rPr>
                <w:rFonts w:eastAsia="黑体"/>
                <w:color w:val="000000"/>
                <w:kern w:val="0"/>
                <w:sz w:val="24"/>
              </w:rPr>
              <w:t>2</w:t>
            </w:r>
            <w:r>
              <w:rPr>
                <w:rFonts w:hAnsi="黑体" w:eastAsia="黑体"/>
                <w:color w:val="000000"/>
                <w:kern w:val="0"/>
                <w:sz w:val="24"/>
              </w:rPr>
              <w:t>分：完成得</w:t>
            </w:r>
            <w:r>
              <w:rPr>
                <w:rFonts w:eastAsia="黑体"/>
                <w:color w:val="000000"/>
                <w:kern w:val="0"/>
                <w:sz w:val="24"/>
              </w:rPr>
              <w:t>2</w:t>
            </w:r>
            <w:r>
              <w:rPr>
                <w:rFonts w:hAnsi="黑体" w:eastAsia="黑体"/>
                <w:color w:val="000000"/>
                <w:kern w:val="0"/>
                <w:sz w:val="24"/>
              </w:rPr>
              <w:t>分；未完成任务的，得分＝</w:t>
            </w:r>
            <w:r>
              <w:rPr>
                <w:rFonts w:eastAsia="黑体"/>
                <w:color w:val="000000"/>
                <w:kern w:val="0"/>
                <w:sz w:val="24"/>
              </w:rPr>
              <w:t>2×</w:t>
            </w:r>
            <w:r>
              <w:rPr>
                <w:rFonts w:hAnsi="黑体" w:eastAsia="黑体"/>
                <w:color w:val="000000"/>
                <w:kern w:val="0"/>
                <w:sz w:val="24"/>
              </w:rPr>
              <w:t>完成率。）</w:t>
            </w:r>
          </w:p>
        </w:tc>
        <w:tc>
          <w:tcPr>
            <w:tcW w:w="910" w:type="dxa"/>
            <w:noWrap w:val="0"/>
            <w:vAlign w:val="center"/>
          </w:tcPr>
          <w:p>
            <w:pPr>
              <w:spacing w:line="300" w:lineRule="exact"/>
              <w:jc w:val="center"/>
              <w:rPr>
                <w:color w:val="000000"/>
                <w:kern w:val="0"/>
                <w:sz w:val="24"/>
              </w:rPr>
            </w:pPr>
            <w:r>
              <w:rPr>
                <w:color w:val="000000"/>
                <w:kern w:val="0"/>
                <w:sz w:val="24"/>
              </w:rPr>
              <w:t>6</w:t>
            </w:r>
          </w:p>
        </w:tc>
        <w:tc>
          <w:tcPr>
            <w:tcW w:w="860" w:type="dxa"/>
            <w:vMerge w:val="continue"/>
            <w:noWrap w:val="0"/>
            <w:vAlign w:val="center"/>
          </w:tcPr>
          <w:p>
            <w:pPr>
              <w:spacing w:line="300" w:lineRule="exact"/>
              <w:rPr>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64BFC0-C38D-452E-8CCF-F9CCD08BAB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76D7C2ED-BE93-4636-A5CB-9EBACF2061A9}"/>
  </w:font>
  <w:font w:name="方正小标宋简体">
    <w:panose1 w:val="02000000000000000000"/>
    <w:charset w:val="86"/>
    <w:family w:val="script"/>
    <w:pitch w:val="default"/>
    <w:sig w:usb0="00000001" w:usb1="08000000" w:usb2="00000000" w:usb3="00000000" w:csb0="00040000" w:csb1="00000000"/>
    <w:embedRegular r:id="rId3" w:fontKey="{F573D895-F469-46EA-B635-E652A60B176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434D2"/>
    <w:rsid w:val="32B4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2019-07-08T07:06:00Z</dcterms:created>
  <dc:creator>-邵嘉达</dc:creator>
  <cp:lastModifiedBy>-邵嘉达</cp:lastModifiedBy>
  <dcterms:modified xsi:type="dcterms:W3CDTF">2019-07-08T07:08:10Z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