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eastAsia="黑体"/>
          <w:color w:val="000000"/>
        </w:rPr>
      </w:pPr>
      <w:r>
        <w:rPr>
          <w:rFonts w:ascii="黑体" w:hAnsi="黑体" w:eastAsia="黑体"/>
          <w:color w:val="000000"/>
        </w:rPr>
        <w:t>附件</w:t>
      </w:r>
      <w:r>
        <w:rPr>
          <w:rFonts w:eastAsia="黑体"/>
          <w:color w:val="000000"/>
        </w:rPr>
        <w:t>1</w:t>
      </w:r>
    </w:p>
    <w:tbl>
      <w:tblPr>
        <w:tblStyle w:val="3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957"/>
        <w:gridCol w:w="1642"/>
        <w:gridCol w:w="957"/>
        <w:gridCol w:w="509"/>
        <w:gridCol w:w="509"/>
        <w:gridCol w:w="512"/>
        <w:gridCol w:w="624"/>
        <w:gridCol w:w="624"/>
        <w:gridCol w:w="624"/>
        <w:gridCol w:w="1872"/>
        <w:gridCol w:w="1642"/>
        <w:gridCol w:w="20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方正小标宋简体" w:eastAsia="方正小标宋简体"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企业错避峰安排计划汇总表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507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执行方案</w:t>
            </w:r>
          </w:p>
        </w:tc>
        <w:tc>
          <w:tcPr>
            <w:tcW w:w="34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供电区域</w:t>
            </w:r>
          </w:p>
        </w:tc>
        <w:tc>
          <w:tcPr>
            <w:tcW w:w="587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参与单位（户）</w:t>
            </w:r>
          </w:p>
        </w:tc>
        <w:tc>
          <w:tcPr>
            <w:tcW w:w="34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合约容量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（kVA）</w:t>
            </w:r>
          </w:p>
        </w:tc>
        <w:tc>
          <w:tcPr>
            <w:tcW w:w="54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用电指标(kW）</w:t>
            </w:r>
          </w:p>
        </w:tc>
        <w:tc>
          <w:tcPr>
            <w:tcW w:w="669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错避峰计划（kW）</w:t>
            </w:r>
          </w:p>
        </w:tc>
        <w:tc>
          <w:tcPr>
            <w:tcW w:w="669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可监视负荷（kW）</w:t>
            </w:r>
          </w:p>
        </w:tc>
        <w:tc>
          <w:tcPr>
            <w:tcW w:w="587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可控负荷（kW）</w:t>
            </w:r>
          </w:p>
        </w:tc>
        <w:tc>
          <w:tcPr>
            <w:tcW w:w="750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507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 xml:space="preserve">早峰 </w:t>
            </w: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腰荷</w:t>
            </w: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晚峰</w:t>
            </w: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早峰</w:t>
            </w: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腰荷</w:t>
            </w: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晚峰</w:t>
            </w:r>
          </w:p>
        </w:tc>
        <w:tc>
          <w:tcPr>
            <w:tcW w:w="669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A-F级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全市合计</w:t>
            </w: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总错避峰    万千瓦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应急机动负荷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全市合计</w:t>
            </w: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总错避峰    万千瓦</w:t>
            </w:r>
          </w:p>
        </w:tc>
      </w:tr>
    </w:tbl>
    <w:p>
      <w:pPr>
        <w:pStyle w:val="6"/>
        <w:rPr>
          <w:rFonts w:eastAsia="黑体"/>
          <w:color w:val="000000"/>
          <w:szCs w:val="32"/>
        </w:rPr>
      </w:pPr>
      <w:r>
        <w:rPr>
          <w:rFonts w:eastAsia="黑体"/>
          <w:color w:val="00000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6E963D-9135-4F4A-AC21-3BB01A2EC7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739DA0C-E7D2-4416-982C-D74AE42C861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5011BBF-B5BE-4CB7-B5DC-A0EA04E11F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328C"/>
    <w:rsid w:val="224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6">
    <w:name w:val="0"/>
    <w:basedOn w:val="1"/>
    <w:uiPriority w:val="0"/>
    <w:pPr>
      <w:widowControl/>
      <w:snapToGrid w:val="0"/>
    </w:pPr>
    <w:rPr>
      <w:rFonts w:hint="eastAsia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2020-08-05T07:19:00Z</dcterms:created>
  <dc:creator>-邵嘉达</dc:creator>
  <cp:lastModifiedBy>-邵嘉达</cp:lastModifiedBy>
  <dcterms:modified xsi:type="dcterms:W3CDTF">2020-08-05T07:20:21Z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