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绍兴市机动车驾驶人文明交通分级评价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不良信息分类表和评分细则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（2020年版）</w:t>
      </w:r>
    </w:p>
    <w:bookmarkEnd w:id="0"/>
    <w:p>
      <w:pPr>
        <w:wordWrap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wordWrap/>
        <w:ind w:firstLine="632" w:firstLineChars="200"/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一、绍兴市机动车驾驶人交通违法不良信息分类表</w:t>
      </w:r>
    </w:p>
    <w:tbl>
      <w:tblPr>
        <w:tblW w:w="5000" w:type="pct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665"/>
        <w:gridCol w:w="77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轻微交通违法不良信息</w:t>
            </w: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不按所需行进方向驶入导向车道的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不按规定停放影响其他车辆和行人通行的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不按规定临时停车影响其他车辆和行人通行的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机动车违反规定停放且驾驶人不在现场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人行道不停车让行的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在高速公路或城市快速路以外的道路上行驶时,驾驶人未按规定使用安全带的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驾驶时拨打接听手持电话的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机动车不在机动车道内行驶的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机动车违反规定使用专用车道的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驾驶机动车在限速低于60公里/小时的公路上超过规定车速50%以下的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上道路行驶的机动车未放置保险标志的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机动车未按规定在限制、禁止的区域通行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在同车道行驶中，不按规定与前车保持必要的安全距离的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机动车载物行驶时遗洒、飘散载运物的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机动车违反警告标志指示的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变更车道时影响正常行驶的机动车的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未按规定借道通行的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机动车号牌不清晰、不完整的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机动车违反警告标线指示的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未依次交替驶入车道减少后的路口、路段的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驾驶中型以上载客载货汽车、危险物品运输车辆以外的机动车超过规定时速10%以下的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不按规定会车的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未将故障车辆移到不妨碍交通的地方停放的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在禁止掉头或者禁止左转弯标志地点掉头的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未按规定变更车道的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在禁止鸣喇叭的区域或者路段鸣喇叭的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掉头时妨碍正常行驶的车辆和行人通行的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机动车未按规定鸣喇叭示意的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无信号道路不避让行人的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机动车驾驶人不服从交警指挥的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驾驶证丢失期间仍驾驶机动车的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未按规定让行人和右方道路来车先行的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左转弯车辆未让相对方向直行车辆先行的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右转弯的机动车未按规定让行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机动车喷涂、粘贴标识影响安全驾驶的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遇前方机动车停车排队等候或者缓慢行驶时，在人行横道、网状线区域内停车等候的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在容易发生危险的路段掉头的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转弯车辆未提前进入规定车道的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不避让正在作业的道路养护车、工程作业车的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机动车未依次交替通行的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未按规定分道行驶的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驾驶机动车行驶时以手持方式使用电话的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驾车时有其他妨碍安全行车的行为的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人行道不减速的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行经无灯控、交警指挥或标志标线控制的路口，无交通标志标线，不让右方道路的来车先行的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右转弯机动车不让左转弯车辆先行的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穿拖鞋驾驶机动车的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一般交通违法不良信息</w:t>
            </w: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机动车违反禁止标线指示的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机动车违反禁令标志指示的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驾驶中型以上载客载货汽车、危险物品运输车辆以外的其他机动车行驶超过规定时速未达</w:t>
            </w:r>
            <w:r>
              <w:rPr>
                <w:rStyle w:val="9"/>
                <w:rFonts w:eastAsia="宋体"/>
                <w:sz w:val="22"/>
                <w:szCs w:val="22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遇停止信号时，停在停止线以内或路口内的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不按规定使用灯光的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转弯的机动车未让直行的车辆、行人先行的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驾驶人在驾驶证超过有效期仍驾驶机动车的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从前车右侧超车的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驾驶中型以上载货汽车在高速公路、城市快速路以外的道路上行驶超过规定时速未达</w:t>
            </w:r>
            <w:r>
              <w:rPr>
                <w:rStyle w:val="9"/>
                <w:rFonts w:eastAsia="宋体"/>
                <w:sz w:val="22"/>
                <w:szCs w:val="22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驾驶机动车在城市快速路上不按规定车道行驶的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不按标线指示让优先通行的一方先行的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驾驶中型以上载客汽车在高速公路、城市快速路以外的道路上行驶超过规定时速</w:t>
            </w:r>
            <w:r>
              <w:rPr>
                <w:rStyle w:val="9"/>
                <w:rFonts w:eastAsia="宋体"/>
                <w:sz w:val="22"/>
                <w:szCs w:val="22"/>
                <w:bdr w:val="none" w:color="auto" w:sz="0" w:space="0"/>
                <w:lang w:val="en-US" w:eastAsia="zh-CN" w:bidi="ar"/>
              </w:rPr>
              <w:t>10%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</w:t>
            </w:r>
            <w:r>
              <w:rPr>
                <w:rStyle w:val="9"/>
                <w:rFonts w:eastAsia="宋体"/>
                <w:sz w:val="22"/>
                <w:szCs w:val="22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在城市快速路上行驶时</w:t>
            </w:r>
            <w:r>
              <w:rPr>
                <w:rStyle w:val="9"/>
                <w:rFonts w:eastAsia="宋体"/>
                <w:sz w:val="22"/>
                <w:szCs w:val="22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驾驶人未按规定使用安全带的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与对面来车有会车可能时超车的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等候放行信号时，不依次停车等候的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通过路口遇放行信号不依次通过的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左转弯时，未靠路口中心点左侧转弯的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驾驶证公告停止使用期间仍驾驶机动车的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前车左转弯时超车的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路口遇有交通阻塞时未依次等候的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不避让执行任务的特种车辆的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较重交通违法不良信息</w:t>
            </w: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驾驶机动车违反道路交通信号灯通行的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驾驶中型以上载客载货汽车、校车、危险物品运输车辆以外的其他机动车行驶超过规定时速</w:t>
            </w:r>
            <w:r>
              <w:rPr>
                <w:rStyle w:val="9"/>
                <w:rFonts w:eastAsia="宋体"/>
                <w:sz w:val="22"/>
                <w:szCs w:val="22"/>
                <w:bdr w:val="none" w:color="auto" w:sz="0" w:space="0"/>
                <w:lang w:val="en-US" w:eastAsia="zh-CN" w:bidi="ar"/>
              </w:rPr>
              <w:t>20%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以上未达到</w:t>
            </w:r>
            <w:r>
              <w:rPr>
                <w:rStyle w:val="9"/>
                <w:rFonts w:eastAsia="宋体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机动车逆向行驶的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遇前方机动车停车排队或者缓慢行驶时</w:t>
            </w:r>
            <w:r>
              <w:rPr>
                <w:rStyle w:val="9"/>
                <w:rFonts w:eastAsia="宋体"/>
                <w:sz w:val="22"/>
                <w:szCs w:val="22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借道超车或者占用对面车道、穿插等候车辆的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驾驶货车载物超过核定载质量30%以上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驾驶中型以上载货汽车在高速公路、城市快速路以外的道路上行驶超过规定时速20%以上未达到50%的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在驾驶证暂扣期间仍驾驶机动车的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驾驶中型以上载客汽车在高速公路、城市快速路以外的道路上行驶超过规定时速20%以上未达到50%的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驾驶危险物品运输车辆在高速公路、城市快速路以外的道路上行驶超过规定时速20%以上未达到50%的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驾驶中型以上载货汽车在城市快速路上行驶超过规定时速未达20％的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驾驶中型以上载客汽车在城市快速路上行驶超过规定时速未达20％的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严重交通违法不良信息</w:t>
            </w: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驾驶中型以上载客载货汽车、校车、危险物品运输车辆以外的机动车行驶超过规定时速50%以上的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饮酒后驾驶机动车的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未取得驾驶证驾驶机动车的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上道路行驶的机动车未悬挂机动车号牌的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醉酒驾车的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再次酒后驾车的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造成交通事故后逃逸，尚不构成犯罪的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驾驶与准驾车型不相符合的车辆的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驾驶已达报废标准的车辆上道路行驶的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驾驶证被吊销期间驾驶机动车的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违法记分达到12分仍驾驶机动车的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发生重大事故，构成犯罪的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驾驶证被依法扣留期间仍驾驶机动车的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违法记分达到12分仍驾驶机动车的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驾驶证被依法扣留期间仍驾驶机动车的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故意遮挡机动车号牌的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饮酒后驾驶营运机动车的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造成交通事故后逃逸的，构成犯罪的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不按规定安装机动车号牌的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故意污损机动车号牌的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饮酒后或者醉酒驾驶机动车发生重大交通事故，构成犯罪的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驾驶中型以上载货汽车在高速公路以外的道路上行驶超过规定时速50%的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醉酒驾营运车的</w:t>
            </w:r>
          </w:p>
        </w:tc>
      </w:tr>
    </w:tbl>
    <w:p>
      <w:pPr>
        <w:ind w:firstLine="632" w:firstLineChars="200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二、评分细则</w:t>
      </w:r>
    </w:p>
    <w:p>
      <w:pPr>
        <w:wordWrap/>
        <w:ind w:firstLine="632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（一）得分标准</w:t>
      </w:r>
    </w:p>
    <w:p>
      <w:pPr>
        <w:wordWrap/>
        <w:ind w:firstLine="632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机动车</w:t>
      </w:r>
      <w:r>
        <w:rPr>
          <w:rFonts w:hint="default"/>
          <w:lang w:val="en-US" w:eastAsia="zh-CN"/>
        </w:rPr>
        <w:t>驾驶人</w:t>
      </w:r>
      <w:r>
        <w:rPr>
          <w:rFonts w:hint="eastAsia"/>
          <w:lang w:val="en-US" w:eastAsia="zh-CN"/>
        </w:rPr>
        <w:t>文明交通综合信用评价采用百分制，分为基础分和加分，其中基础分共90分，加分共10分。</w:t>
      </w:r>
    </w:p>
    <w:p>
      <w:pPr>
        <w:wordWrap/>
        <w:ind w:firstLine="632" w:firstLineChars="200"/>
        <w:jc w:val="both"/>
        <w:rPr>
          <w:rFonts w:hint="eastAsia"/>
          <w:highlight w:val="none"/>
          <w:lang w:val="en-US" w:eastAsia="zh-CN"/>
        </w:rPr>
      </w:pPr>
      <w:r>
        <w:rPr>
          <w:rFonts w:hint="eastAsia"/>
          <w:lang w:val="en-US" w:eastAsia="zh-CN"/>
        </w:rPr>
        <w:t>交通违法</w:t>
      </w:r>
      <w:r>
        <w:rPr>
          <w:rFonts w:hint="eastAsia"/>
          <w:highlight w:val="none"/>
          <w:lang w:val="en-US" w:eastAsia="zh-CN"/>
        </w:rPr>
        <w:t>不良信息按条扣减基础分，其中每有一条轻微交通违法不良信息扣减4分，每有一条一般交通违法不良信息扣减8分，每有一条较重交通违法不良信息扣减15分，每有一条严重交通违法不良信息扣减30分。</w:t>
      </w:r>
    </w:p>
    <w:p>
      <w:pPr>
        <w:wordWrap/>
        <w:ind w:firstLine="632" w:firstLineChars="200"/>
        <w:jc w:val="both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其中，轻微交通违法不良信息统计时效为近一年内记录，一般交通违法不良信息统计时效为近三年内记录，较重、严重交通违法不良信息统计时效为近五年内记录。</w:t>
      </w:r>
    </w:p>
    <w:p>
      <w:pPr>
        <w:wordWrap/>
        <w:ind w:firstLine="632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连续五年无交通违法记录的，得加分5分；自觉按要求作出文明交通信用承诺且无违诺记录的，得加分5分。</w:t>
      </w:r>
    </w:p>
    <w:p>
      <w:pPr>
        <w:wordWrap/>
        <w:ind w:firstLine="632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分级标准</w:t>
      </w:r>
    </w:p>
    <w:p>
      <w:pPr>
        <w:wordWrap/>
        <w:ind w:firstLine="632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机动车</w:t>
      </w:r>
      <w:r>
        <w:rPr>
          <w:rFonts w:hint="default"/>
          <w:lang w:val="en-US" w:eastAsia="zh-CN"/>
        </w:rPr>
        <w:t>驾驶人</w:t>
      </w:r>
      <w:r>
        <w:rPr>
          <w:rFonts w:hint="eastAsia"/>
          <w:lang w:val="en-US" w:eastAsia="zh-CN"/>
        </w:rPr>
        <w:t>开展文明交通综合信用评价分为A、B、C、D、E五个等级。A表示文明交通综合信用评价为优秀；B表示文明交通综合信用评价为良好；C表示文明交通综合信用评价为一般；D表示文明交通综合信用评价为较差；E表示文明交通综合信用评价为差。</w:t>
      </w:r>
    </w:p>
    <w:p>
      <w:pPr>
        <w:wordWrap/>
        <w:ind w:firstLine="632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A（优秀）：评价得分90分（不含）至100分（含）。</w:t>
      </w:r>
    </w:p>
    <w:p>
      <w:pPr>
        <w:wordWrap/>
        <w:ind w:firstLine="632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B（良好）：评价得分75分（不含）至90分（含）。</w:t>
      </w:r>
    </w:p>
    <w:p>
      <w:pPr>
        <w:wordWrap/>
        <w:ind w:firstLine="632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C（一般）：评价得分60分（不含）至75分（含）。</w:t>
      </w:r>
    </w:p>
    <w:p>
      <w:pPr>
        <w:wordWrap/>
        <w:ind w:firstLine="632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D（较差）：评价得分45分（不含）至60分（含）。</w:t>
      </w:r>
    </w:p>
    <w:p>
      <w:pPr>
        <w:wordWrap/>
        <w:ind w:firstLine="632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E（ 差 ）：评价得分45分（含）以下。</w:t>
      </w:r>
    </w:p>
    <w:p>
      <w:pPr>
        <w:ind w:firstLine="631"/>
        <w:rPr>
          <w:rFonts w:hint="default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1134" w:footer="1134" w:gutter="0"/>
      <w:pgNumType w:fmt="numberInDash"/>
      <w:cols w:space="72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A0Uz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2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CSD7yX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2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63343"/>
    <w:rsid w:val="014E4A7B"/>
    <w:rsid w:val="01D81ADE"/>
    <w:rsid w:val="0B851FD5"/>
    <w:rsid w:val="2718149E"/>
    <w:rsid w:val="31363343"/>
    <w:rsid w:val="36803BB4"/>
    <w:rsid w:val="559D17A4"/>
    <w:rsid w:val="60545E5D"/>
    <w:rsid w:val="6E7D0EFC"/>
    <w:rsid w:val="71191565"/>
    <w:rsid w:val="74AE2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等线 Light" w:hAnsi="等线 Light" w:cs="Times New Roman"/>
      <w:b/>
      <w:bCs/>
      <w:kern w:val="28"/>
      <w:sz w:val="32"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01"/>
    <w:basedOn w:val="6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2020-12-07T06:34:00Z</dcterms:created>
  <dc:creator>李建华</dc:creator>
  <cp:lastModifiedBy>李建华</cp:lastModifiedBy>
  <cp:lastPrinted>2020-12-08T02:28:00Z</cp:lastPrinted>
  <dcterms:modified xsi:type="dcterms:W3CDTF">2020-12-16T07:39:52Z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