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2</w:t>
      </w:r>
    </w:p>
    <w:p>
      <w:pPr>
        <w:snapToGrid w:val="0"/>
        <w:spacing w:line="600" w:lineRule="exact"/>
        <w:jc w:val="center"/>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方正小标宋简体"/>
          <w:sz w:val="44"/>
          <w:szCs w:val="44"/>
        </w:rPr>
        <w:t>绍兴市规上服务业企业评价数据申报表</w:t>
      </w:r>
    </w:p>
    <w:bookmarkEnd w:id="0"/>
    <w:p>
      <w:pPr>
        <w:jc w:val="center"/>
        <w:rPr>
          <w:rFonts w:ascii="Times New Roman" w:hAnsi="Times New Roman" w:cs="Times New Roman"/>
        </w:rPr>
      </w:pPr>
      <w:r>
        <w:rPr>
          <w:rFonts w:ascii="Times New Roman" w:hAnsi="Times New Roman" w:cs="Times New Roman"/>
        </w:rPr>
        <w:t xml:space="preserve">(20   </w:t>
      </w:r>
      <w:r>
        <w:rPr>
          <w:rFonts w:hint="eastAsia" w:ascii="Times New Roman" w:hAnsi="Times New Roman" w:cs="宋体"/>
        </w:rPr>
        <w:t>年度</w:t>
      </w:r>
      <w:r>
        <w:rPr>
          <w:rFonts w:ascii="Times New Roman" w:hAnsi="Times New Roman" w:cs="Times New Roman"/>
        </w:rPr>
        <w:t>)</w:t>
      </w:r>
    </w:p>
    <w:p>
      <w:pPr>
        <w:rPr>
          <w:rFonts w:ascii="Times New Roman" w:hAnsi="Times New Roman" w:cs="Times New Roman"/>
          <w:b/>
          <w:bCs/>
        </w:rPr>
      </w:pPr>
      <w:r>
        <w:rPr>
          <w:rFonts w:hint="eastAsia" w:ascii="Times New Roman" w:hAnsi="Times New Roman" w:cs="宋体"/>
        </w:rPr>
        <w:t>单位名称（盖章）：</w:t>
      </w:r>
      <w:r>
        <w:rPr>
          <w:rFonts w:ascii="Times New Roman" w:hAnsi="Times New Roman" w:cs="Times New Roman"/>
        </w:rPr>
        <w:t xml:space="preserve">                           </w:t>
      </w:r>
    </w:p>
    <w:tbl>
      <w:tblPr>
        <w:tblStyle w:val="3"/>
        <w:tblW w:w="14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454"/>
        <w:gridCol w:w="454"/>
        <w:gridCol w:w="453"/>
        <w:gridCol w:w="454"/>
        <w:gridCol w:w="454"/>
        <w:gridCol w:w="453"/>
        <w:gridCol w:w="454"/>
        <w:gridCol w:w="454"/>
        <w:gridCol w:w="453"/>
        <w:gridCol w:w="454"/>
        <w:gridCol w:w="454"/>
        <w:gridCol w:w="453"/>
        <w:gridCol w:w="454"/>
        <w:gridCol w:w="454"/>
        <w:gridCol w:w="454"/>
        <w:gridCol w:w="453"/>
        <w:gridCol w:w="454"/>
        <w:gridCol w:w="454"/>
        <w:gridCol w:w="453"/>
        <w:gridCol w:w="454"/>
        <w:gridCol w:w="454"/>
        <w:gridCol w:w="453"/>
        <w:gridCol w:w="454"/>
        <w:gridCol w:w="454"/>
        <w:gridCol w:w="453"/>
        <w:gridCol w:w="454"/>
        <w:gridCol w:w="454"/>
        <w:gridCol w:w="453"/>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1</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2</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3</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4</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5</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6</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7</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8</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9</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10</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11</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12</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13</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14</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15</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16</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17</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18</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19</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20</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21</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22</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23</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24</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25</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26</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27</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28</w:t>
            </w:r>
          </w:p>
        </w:tc>
        <w:tc>
          <w:tcPr>
            <w:tcW w:w="453" w:type="dxa"/>
            <w:vAlign w:val="center"/>
          </w:tcPr>
          <w:p>
            <w:pPr>
              <w:spacing w:line="200" w:lineRule="exact"/>
              <w:jc w:val="center"/>
              <w:rPr>
                <w:rFonts w:ascii="Times New Roman" w:hAnsi="Times New Roman" w:cs="Times New Roman"/>
              </w:rPr>
            </w:pPr>
            <w:r>
              <w:rPr>
                <w:rFonts w:ascii="Times New Roman" w:hAnsi="Times New Roman" w:cs="Times New Roman"/>
              </w:rPr>
              <w:t>29</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30</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31</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53" w:type="dxa"/>
            <w:vAlign w:val="center"/>
          </w:tcPr>
          <w:p>
            <w:pPr>
              <w:spacing w:line="200" w:lineRule="exact"/>
              <w:jc w:val="center"/>
              <w:rPr>
                <w:rFonts w:ascii="Times New Roman" w:hAnsi="Times New Roman" w:cs="Times New Roman"/>
              </w:rPr>
            </w:pPr>
            <w:r>
              <w:rPr>
                <w:rFonts w:hint="eastAsia" w:ascii="Times New Roman" w:hAnsi="Times New Roman" w:cs="宋体"/>
              </w:rPr>
              <w:t>序号</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公司名称</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组织机构代码</w:t>
            </w:r>
          </w:p>
        </w:tc>
        <w:tc>
          <w:tcPr>
            <w:tcW w:w="453" w:type="dxa"/>
            <w:vAlign w:val="center"/>
          </w:tcPr>
          <w:p>
            <w:pPr>
              <w:spacing w:line="200" w:lineRule="exact"/>
              <w:jc w:val="center"/>
              <w:rPr>
                <w:rFonts w:ascii="Times New Roman" w:hAnsi="Times New Roman" w:cs="Times New Roman"/>
              </w:rPr>
            </w:pPr>
            <w:r>
              <w:rPr>
                <w:rFonts w:hint="eastAsia" w:ascii="Times New Roman" w:hAnsi="Times New Roman" w:cs="宋体"/>
              </w:rPr>
              <w:t>地域代码（前</w:t>
            </w:r>
            <w:r>
              <w:rPr>
                <w:rFonts w:ascii="Times New Roman" w:hAnsi="Times New Roman" w:cs="Times New Roman"/>
              </w:rPr>
              <w:t>6</w:t>
            </w:r>
            <w:r>
              <w:rPr>
                <w:rFonts w:hint="eastAsia" w:ascii="Times New Roman" w:hAnsi="Times New Roman" w:cs="宋体"/>
              </w:rPr>
              <w:t>位）</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所属行业代码（前</w:t>
            </w:r>
            <w:r>
              <w:rPr>
                <w:rFonts w:ascii="Times New Roman" w:hAnsi="Times New Roman" w:cs="Times New Roman"/>
              </w:rPr>
              <w:t>4</w:t>
            </w:r>
            <w:r>
              <w:rPr>
                <w:rFonts w:hint="eastAsia" w:ascii="Times New Roman" w:hAnsi="Times New Roman" w:cs="宋体"/>
              </w:rPr>
              <w:t>位）</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登记注册类型（前</w:t>
            </w:r>
            <w:r>
              <w:rPr>
                <w:rFonts w:ascii="Times New Roman" w:hAnsi="Times New Roman" w:cs="Times New Roman"/>
              </w:rPr>
              <w:t>3</w:t>
            </w:r>
            <w:r>
              <w:rPr>
                <w:rFonts w:hint="eastAsia" w:ascii="Times New Roman" w:hAnsi="Times New Roman" w:cs="宋体"/>
              </w:rPr>
              <w:t>位）</w:t>
            </w:r>
          </w:p>
        </w:tc>
        <w:tc>
          <w:tcPr>
            <w:tcW w:w="453" w:type="dxa"/>
            <w:vAlign w:val="center"/>
          </w:tcPr>
          <w:p>
            <w:pPr>
              <w:widowControl/>
              <w:spacing w:line="200" w:lineRule="exact"/>
              <w:jc w:val="center"/>
              <w:rPr>
                <w:rFonts w:ascii="Times New Roman" w:hAnsi="Times New Roman" w:cs="Times New Roman"/>
              </w:rPr>
            </w:pPr>
            <w:r>
              <w:rPr>
                <w:rFonts w:hint="eastAsia" w:ascii="Times New Roman" w:hAnsi="Times New Roman" w:cs="宋体"/>
              </w:rPr>
              <w:t>社会统一信用代码</w:t>
            </w:r>
          </w:p>
        </w:tc>
        <w:tc>
          <w:tcPr>
            <w:tcW w:w="454" w:type="dxa"/>
            <w:vAlign w:val="center"/>
          </w:tcPr>
          <w:p>
            <w:pPr>
              <w:widowControl/>
              <w:spacing w:line="200" w:lineRule="exact"/>
              <w:jc w:val="center"/>
              <w:rPr>
                <w:rFonts w:ascii="Times New Roman" w:hAnsi="Times New Roman" w:cs="Times New Roman"/>
              </w:rPr>
            </w:pPr>
            <w:r>
              <w:rPr>
                <w:rFonts w:hint="eastAsia" w:ascii="Times New Roman" w:hAnsi="Times New Roman" w:cs="宋体"/>
              </w:rPr>
              <w:t>纳税人识别号</w:t>
            </w:r>
          </w:p>
        </w:tc>
        <w:tc>
          <w:tcPr>
            <w:tcW w:w="454" w:type="dxa"/>
            <w:vAlign w:val="center"/>
          </w:tcPr>
          <w:p>
            <w:pPr>
              <w:widowControl/>
              <w:spacing w:line="200" w:lineRule="exact"/>
              <w:jc w:val="center"/>
              <w:rPr>
                <w:rFonts w:ascii="Times New Roman" w:hAnsi="Times New Roman" w:cs="Times New Roman"/>
              </w:rPr>
            </w:pPr>
            <w:r>
              <w:rPr>
                <w:rFonts w:hint="eastAsia" w:ascii="Times New Roman" w:hAnsi="Times New Roman" w:cs="宋体"/>
              </w:rPr>
              <w:t>年平均职工人数（人）</w:t>
            </w:r>
          </w:p>
        </w:tc>
        <w:tc>
          <w:tcPr>
            <w:tcW w:w="453" w:type="dxa"/>
            <w:vAlign w:val="center"/>
          </w:tcPr>
          <w:p>
            <w:pPr>
              <w:spacing w:line="200" w:lineRule="exact"/>
              <w:jc w:val="center"/>
              <w:rPr>
                <w:rFonts w:ascii="Times New Roman" w:hAnsi="Times New Roman" w:cs="Times New Roman"/>
              </w:rPr>
            </w:pPr>
            <w:r>
              <w:rPr>
                <w:rFonts w:hint="eastAsia" w:ascii="Times New Roman" w:hAnsi="Times New Roman" w:cs="宋体"/>
              </w:rPr>
              <w:t>营业收入（千元）</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主营业务收入（千元）</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年利润总额（千元）</w:t>
            </w:r>
          </w:p>
        </w:tc>
        <w:tc>
          <w:tcPr>
            <w:tcW w:w="453" w:type="dxa"/>
            <w:vAlign w:val="center"/>
          </w:tcPr>
          <w:p>
            <w:pPr>
              <w:spacing w:line="200" w:lineRule="exact"/>
              <w:jc w:val="center"/>
              <w:rPr>
                <w:rFonts w:ascii="Times New Roman" w:hAnsi="Times New Roman" w:cs="Times New Roman"/>
              </w:rPr>
            </w:pPr>
            <w:r>
              <w:rPr>
                <w:rFonts w:hint="eastAsia" w:ascii="Times New Roman" w:hAnsi="Times New Roman" w:cs="宋体"/>
              </w:rPr>
              <w:t>增加值（千元）</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税收实际贡献（千元）</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R&amp;D</w:t>
            </w:r>
            <w:r>
              <w:rPr>
                <w:rFonts w:hint="eastAsia" w:ascii="Times New Roman" w:hAnsi="Times New Roman" w:cs="宋体"/>
              </w:rPr>
              <w:t>人员数（人）</w:t>
            </w:r>
          </w:p>
        </w:tc>
        <w:tc>
          <w:tcPr>
            <w:tcW w:w="454" w:type="dxa"/>
            <w:vAlign w:val="center"/>
          </w:tcPr>
          <w:p>
            <w:pPr>
              <w:spacing w:line="200" w:lineRule="exact"/>
              <w:jc w:val="center"/>
              <w:rPr>
                <w:rFonts w:ascii="Times New Roman" w:hAnsi="Times New Roman" w:cs="Times New Roman"/>
              </w:rPr>
            </w:pPr>
            <w:r>
              <w:rPr>
                <w:rFonts w:ascii="Times New Roman" w:hAnsi="Times New Roman" w:cs="Times New Roman"/>
              </w:rPr>
              <w:t>R&amp;D</w:t>
            </w:r>
            <w:r>
              <w:rPr>
                <w:rFonts w:hint="eastAsia" w:ascii="Times New Roman" w:hAnsi="Times New Roman" w:cs="宋体"/>
              </w:rPr>
              <w:t>经费内部支出（千元）</w:t>
            </w:r>
          </w:p>
        </w:tc>
        <w:tc>
          <w:tcPr>
            <w:tcW w:w="453" w:type="dxa"/>
            <w:vAlign w:val="center"/>
          </w:tcPr>
          <w:p>
            <w:pPr>
              <w:spacing w:line="200" w:lineRule="exact"/>
              <w:jc w:val="center"/>
              <w:rPr>
                <w:rFonts w:ascii="Times New Roman" w:hAnsi="Times New Roman" w:cs="Times New Roman"/>
              </w:rPr>
            </w:pPr>
            <w:r>
              <w:rPr>
                <w:rFonts w:hint="eastAsia" w:ascii="Times New Roman" w:hAnsi="Times New Roman" w:cs="宋体"/>
              </w:rPr>
              <w:t>软件著作权数（件）</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自有土地登记面积（亩）</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租赁或其他方式占用的建筑面积（</w:t>
            </w:r>
            <w:r>
              <w:rPr>
                <w:rFonts w:ascii="Times New Roman" w:hAnsi="Times New Roman" w:cs="Times New Roman"/>
              </w:rPr>
              <w:t>m</w:t>
            </w:r>
            <w:r>
              <w:rPr>
                <w:rFonts w:ascii="Times New Roman" w:hAnsi="Times New Roman" w:cs="Times New Roman"/>
                <w:vertAlign w:val="superscript"/>
              </w:rPr>
              <w:t>2</w:t>
            </w:r>
            <w:r>
              <w:rPr>
                <w:rFonts w:hint="eastAsia" w:ascii="Times New Roman" w:hAnsi="Times New Roman" w:cs="宋体"/>
              </w:rPr>
              <w:t>）</w:t>
            </w:r>
          </w:p>
        </w:tc>
        <w:tc>
          <w:tcPr>
            <w:tcW w:w="453" w:type="dxa"/>
            <w:vAlign w:val="center"/>
          </w:tcPr>
          <w:p>
            <w:pPr>
              <w:spacing w:line="200" w:lineRule="exact"/>
              <w:jc w:val="center"/>
              <w:rPr>
                <w:rFonts w:ascii="Times New Roman" w:hAnsi="Times New Roman" w:cs="Times New Roman"/>
                <w:highlight w:val="yellow"/>
                <w:shd w:val="pct10" w:color="auto" w:fill="FFFFFF"/>
              </w:rPr>
            </w:pPr>
            <w:r>
              <w:rPr>
                <w:rFonts w:hint="eastAsia" w:ascii="Times New Roman" w:hAnsi="Times New Roman" w:cs="宋体"/>
              </w:rPr>
              <w:t>租赁的建筑面积折算为土地面积（</w:t>
            </w:r>
            <w:r>
              <w:rPr>
                <w:rFonts w:ascii="Times New Roman" w:hAnsi="Times New Roman" w:cs="Times New Roman"/>
              </w:rPr>
              <w:t>m</w:t>
            </w:r>
            <w:r>
              <w:rPr>
                <w:rFonts w:ascii="Times New Roman" w:hAnsi="Times New Roman" w:cs="Times New Roman"/>
                <w:vertAlign w:val="superscript"/>
              </w:rPr>
              <w:t>2</w:t>
            </w:r>
            <w:r>
              <w:rPr>
                <w:rFonts w:hint="eastAsia" w:ascii="Times New Roman" w:hAnsi="Times New Roman" w:cs="宋体"/>
              </w:rPr>
              <w:t>）</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上一年租金支出总额（千元）</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是否上市企业（包括新三板）</w:t>
            </w:r>
          </w:p>
        </w:tc>
        <w:tc>
          <w:tcPr>
            <w:tcW w:w="453" w:type="dxa"/>
            <w:vAlign w:val="center"/>
          </w:tcPr>
          <w:p>
            <w:pPr>
              <w:spacing w:line="200" w:lineRule="exact"/>
              <w:jc w:val="center"/>
              <w:rPr>
                <w:rFonts w:ascii="Times New Roman" w:hAnsi="Times New Roman" w:cs="Times New Roman"/>
              </w:rPr>
            </w:pPr>
            <w:r>
              <w:rPr>
                <w:rFonts w:hint="eastAsia" w:ascii="Times New Roman" w:hAnsi="Times New Roman" w:cs="宋体"/>
              </w:rPr>
              <w:t>是否行业领军企业、单打冠军、隐形冠军</w:t>
            </w:r>
          </w:p>
        </w:tc>
        <w:tc>
          <w:tcPr>
            <w:tcW w:w="454" w:type="dxa"/>
            <w:vAlign w:val="center"/>
          </w:tcPr>
          <w:p>
            <w:pPr>
              <w:spacing w:line="200" w:lineRule="exact"/>
              <w:jc w:val="center"/>
              <w:rPr>
                <w:rFonts w:ascii="Times New Roman" w:hAnsi="Times New Roman" w:cs="Times New Roman"/>
                <w:highlight w:val="yellow"/>
              </w:rPr>
            </w:pPr>
            <w:r>
              <w:rPr>
                <w:rFonts w:hint="eastAsia" w:ascii="Times New Roman" w:hAnsi="Times New Roman" w:cs="宋体"/>
              </w:rPr>
              <w:t>是否跨界融合型企业</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是否平台型企业</w:t>
            </w:r>
          </w:p>
        </w:tc>
        <w:tc>
          <w:tcPr>
            <w:tcW w:w="453" w:type="dxa"/>
            <w:vAlign w:val="center"/>
          </w:tcPr>
          <w:p>
            <w:pPr>
              <w:spacing w:line="200" w:lineRule="exact"/>
              <w:jc w:val="center"/>
              <w:rPr>
                <w:rFonts w:ascii="Times New Roman" w:hAnsi="Times New Roman" w:cs="Times New Roman"/>
              </w:rPr>
            </w:pPr>
            <w:r>
              <w:rPr>
                <w:rFonts w:hint="eastAsia" w:ascii="Times New Roman" w:hAnsi="Times New Roman" w:cs="宋体"/>
              </w:rPr>
              <w:t>是否独角兽或潜在独角兽企业</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综合能耗（标准煤）</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地址</w:t>
            </w:r>
          </w:p>
        </w:tc>
        <w:tc>
          <w:tcPr>
            <w:tcW w:w="453" w:type="dxa"/>
            <w:vAlign w:val="center"/>
          </w:tcPr>
          <w:p>
            <w:pPr>
              <w:widowControl/>
              <w:spacing w:line="200" w:lineRule="exact"/>
              <w:jc w:val="center"/>
              <w:rPr>
                <w:rFonts w:ascii="Times New Roman" w:hAnsi="Times New Roman" w:cs="Times New Roman"/>
              </w:rPr>
            </w:pPr>
            <w:r>
              <w:rPr>
                <w:rFonts w:hint="eastAsia" w:ascii="Times New Roman" w:hAnsi="Times New Roman" w:cs="宋体"/>
              </w:rPr>
              <w:t>法定代表人及电话</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日常联系人及电话</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企业所属乡镇、平台、行政村</w:t>
            </w:r>
          </w:p>
        </w:tc>
        <w:tc>
          <w:tcPr>
            <w:tcW w:w="454" w:type="dxa"/>
            <w:vAlign w:val="center"/>
          </w:tcPr>
          <w:p>
            <w:pPr>
              <w:spacing w:line="200" w:lineRule="exact"/>
              <w:jc w:val="center"/>
              <w:rPr>
                <w:rFonts w:ascii="Times New Roman" w:hAnsi="Times New Roman" w:cs="Times New Roman"/>
              </w:rPr>
            </w:pPr>
            <w:r>
              <w:rPr>
                <w:rFonts w:hint="eastAsia" w:ascii="Times New Roman" w:hAnsi="Times New Roman"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453" w:type="dxa"/>
            <w:vAlign w:val="center"/>
          </w:tcPr>
          <w:p>
            <w:pPr>
              <w:spacing w:line="240" w:lineRule="exact"/>
              <w:jc w:val="center"/>
              <w:rPr>
                <w:rFonts w:ascii="Times New Roman" w:hAnsi="Times New Roman" w:cs="Times New Roman"/>
              </w:rPr>
            </w:pPr>
          </w:p>
          <w:p>
            <w:pPr>
              <w:spacing w:line="240" w:lineRule="exact"/>
              <w:jc w:val="center"/>
              <w:rPr>
                <w:rFonts w:ascii="Times New Roman" w:hAnsi="Times New Roman" w:cs="Times New Roman"/>
              </w:rPr>
            </w:pPr>
          </w:p>
          <w:p>
            <w:pPr>
              <w:spacing w:line="240" w:lineRule="exact"/>
              <w:jc w:val="center"/>
              <w:rPr>
                <w:rFonts w:ascii="Times New Roman" w:hAnsi="Times New Roman" w:cs="Times New Roman"/>
              </w:rPr>
            </w:pPr>
          </w:p>
          <w:p>
            <w:pPr>
              <w:spacing w:line="240" w:lineRule="exact"/>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3"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3"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3"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3"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3"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3"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color w:val="FF0000"/>
              </w:rPr>
            </w:pPr>
          </w:p>
        </w:tc>
        <w:tc>
          <w:tcPr>
            <w:tcW w:w="454" w:type="dxa"/>
            <w:vAlign w:val="center"/>
          </w:tcPr>
          <w:p>
            <w:pPr>
              <w:spacing w:line="240" w:lineRule="exact"/>
              <w:jc w:val="center"/>
              <w:rPr>
                <w:rFonts w:ascii="Times New Roman" w:hAnsi="Times New Roman" w:cs="Times New Roman"/>
                <w:color w:val="FF0000"/>
              </w:rPr>
            </w:pPr>
          </w:p>
        </w:tc>
        <w:tc>
          <w:tcPr>
            <w:tcW w:w="453" w:type="dxa"/>
            <w:vAlign w:val="center"/>
          </w:tcPr>
          <w:p>
            <w:pPr>
              <w:spacing w:line="240" w:lineRule="exact"/>
              <w:jc w:val="center"/>
              <w:rPr>
                <w:rFonts w:ascii="Times New Roman" w:hAnsi="Times New Roman" w:cs="Times New Roman"/>
                <w:color w:val="FF0000"/>
              </w:rPr>
            </w:pPr>
          </w:p>
        </w:tc>
        <w:tc>
          <w:tcPr>
            <w:tcW w:w="454" w:type="dxa"/>
            <w:vAlign w:val="center"/>
          </w:tcPr>
          <w:p>
            <w:pPr>
              <w:spacing w:line="240" w:lineRule="exact"/>
              <w:jc w:val="center"/>
              <w:rPr>
                <w:rFonts w:ascii="Times New Roman" w:hAnsi="Times New Roman" w:cs="Times New Roman"/>
                <w:color w:val="FF0000"/>
              </w:rPr>
            </w:pPr>
          </w:p>
        </w:tc>
        <w:tc>
          <w:tcPr>
            <w:tcW w:w="454" w:type="dxa"/>
            <w:vAlign w:val="center"/>
          </w:tcPr>
          <w:p>
            <w:pPr>
              <w:spacing w:line="240" w:lineRule="exact"/>
              <w:jc w:val="center"/>
              <w:rPr>
                <w:rFonts w:ascii="Times New Roman" w:hAnsi="Times New Roman" w:cs="Times New Roman"/>
                <w:color w:val="FF0000"/>
              </w:rPr>
            </w:pPr>
          </w:p>
        </w:tc>
        <w:tc>
          <w:tcPr>
            <w:tcW w:w="453" w:type="dxa"/>
            <w:vAlign w:val="center"/>
          </w:tcPr>
          <w:p>
            <w:pPr>
              <w:spacing w:line="240" w:lineRule="exact"/>
              <w:jc w:val="center"/>
              <w:rPr>
                <w:rFonts w:ascii="Times New Roman" w:hAnsi="Times New Roman" w:cs="Times New Roman"/>
                <w:color w:val="FF0000"/>
              </w:rPr>
            </w:pPr>
          </w:p>
        </w:tc>
        <w:tc>
          <w:tcPr>
            <w:tcW w:w="454" w:type="dxa"/>
            <w:vAlign w:val="center"/>
          </w:tcPr>
          <w:p>
            <w:pPr>
              <w:spacing w:line="240" w:lineRule="exact"/>
              <w:jc w:val="center"/>
              <w:rPr>
                <w:rFonts w:ascii="Times New Roman" w:hAnsi="Times New Roman" w:cs="Times New Roman"/>
                <w:color w:val="FF0000"/>
              </w:rPr>
            </w:pPr>
          </w:p>
        </w:tc>
        <w:tc>
          <w:tcPr>
            <w:tcW w:w="454" w:type="dxa"/>
            <w:vAlign w:val="center"/>
          </w:tcPr>
          <w:p>
            <w:pPr>
              <w:spacing w:line="240" w:lineRule="exact"/>
              <w:jc w:val="center"/>
              <w:rPr>
                <w:rFonts w:ascii="Times New Roman" w:hAnsi="Times New Roman" w:cs="Times New Roman"/>
              </w:rPr>
            </w:pPr>
          </w:p>
        </w:tc>
        <w:tc>
          <w:tcPr>
            <w:tcW w:w="453"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c>
          <w:tcPr>
            <w:tcW w:w="454" w:type="dxa"/>
            <w:vAlign w:val="center"/>
          </w:tcPr>
          <w:p>
            <w:pPr>
              <w:spacing w:line="240" w:lineRule="exact"/>
              <w:jc w:val="center"/>
              <w:rPr>
                <w:rFonts w:ascii="Times New Roman" w:hAnsi="Times New Roman" w:cs="Times New Roman"/>
              </w:rPr>
            </w:pPr>
          </w:p>
        </w:tc>
      </w:tr>
    </w:tbl>
    <w:p>
      <w:pPr>
        <w:spacing w:line="320" w:lineRule="exact"/>
        <w:rPr>
          <w:rFonts w:ascii="Times New Roman" w:hAnsi="Times New Roman" w:cs="Times New Roman"/>
        </w:rPr>
      </w:pPr>
      <w:r>
        <w:rPr>
          <w:rFonts w:hint="eastAsia" w:ascii="Times New Roman" w:hAnsi="Times New Roman" w:cs="宋体"/>
        </w:rPr>
        <w:t>报送人：</w:t>
      </w:r>
      <w:r>
        <w:rPr>
          <w:rFonts w:ascii="Times New Roman" w:hAnsi="Times New Roman" w:cs="Times New Roman"/>
        </w:rPr>
        <w:t xml:space="preserve">                </w:t>
      </w:r>
      <w:r>
        <w:rPr>
          <w:rFonts w:hint="eastAsia" w:ascii="Times New Roman" w:hAnsi="Times New Roman" w:cs="宋体"/>
        </w:rPr>
        <w:t>电话：</w:t>
      </w:r>
      <w:r>
        <w:rPr>
          <w:rFonts w:ascii="Times New Roman" w:hAnsi="Times New Roman" w:cs="Times New Roman"/>
        </w:rPr>
        <w:t xml:space="preserve">                                                                   </w:t>
      </w:r>
      <w:r>
        <w:rPr>
          <w:rFonts w:hint="eastAsia" w:ascii="Times New Roman" w:hAnsi="Times New Roman" w:cs="宋体"/>
        </w:rPr>
        <w:t>报送时间：</w:t>
      </w:r>
      <w:r>
        <w:rPr>
          <w:rFonts w:ascii="Times New Roman" w:hAnsi="Times New Roman" w:cs="Times New Roman"/>
        </w:rPr>
        <w:t xml:space="preserve">    </w:t>
      </w:r>
      <w:r>
        <w:rPr>
          <w:rFonts w:hint="eastAsia" w:ascii="Times New Roman" w:hAnsi="Times New Roman" w:cs="宋体"/>
        </w:rPr>
        <w:t>年</w:t>
      </w:r>
      <w:r>
        <w:rPr>
          <w:rFonts w:ascii="Times New Roman" w:hAnsi="Times New Roman" w:cs="Times New Roman"/>
        </w:rPr>
        <w:t xml:space="preserve">    </w:t>
      </w:r>
      <w:r>
        <w:rPr>
          <w:rFonts w:hint="eastAsia" w:ascii="Times New Roman" w:hAnsi="Times New Roman" w:cs="宋体"/>
        </w:rPr>
        <w:t>月</w:t>
      </w:r>
      <w:r>
        <w:rPr>
          <w:rFonts w:ascii="Times New Roman" w:hAnsi="Times New Roman" w:cs="Times New Roman"/>
        </w:rPr>
        <w:t xml:space="preserve">    </w:t>
      </w:r>
      <w:r>
        <w:rPr>
          <w:rFonts w:hint="eastAsia" w:ascii="Times New Roman" w:hAnsi="Times New Roman" w:cs="宋体"/>
        </w:rPr>
        <w:t>日</w:t>
      </w:r>
    </w:p>
    <w:p>
      <w:pPr>
        <w:spacing w:line="320" w:lineRule="exact"/>
        <w:rPr>
          <w:rFonts w:ascii="Times New Roman" w:hAnsi="Times New Roman" w:cs="Times New Roman"/>
        </w:rPr>
      </w:pPr>
    </w:p>
    <w:p>
      <w:pPr>
        <w:spacing w:line="320" w:lineRule="exact"/>
        <w:rPr>
          <w:rFonts w:ascii="Times New Roman" w:hAnsi="Times New Roman" w:cs="Times New Roman"/>
        </w:rPr>
      </w:pPr>
      <w:r>
        <w:rPr>
          <w:rFonts w:ascii="Times New Roman" w:hAnsi="Times New Roman" w:cs="Times New Roman"/>
        </w:rPr>
        <w:t xml:space="preserve">1. </w:t>
      </w:r>
      <w:r>
        <w:rPr>
          <w:rFonts w:hint="eastAsia" w:ascii="Times New Roman" w:hAnsi="Times New Roman" w:cs="宋体"/>
        </w:rPr>
        <w:t>全省所有单位在整个综合评价工作流程中统一使用此表及其规定格式。不要改动表格中的指标、单位、排列顺序，以免造成汇总、统计中的错误。</w:t>
      </w:r>
    </w:p>
    <w:p>
      <w:pPr>
        <w:spacing w:line="320" w:lineRule="exact"/>
        <w:rPr>
          <w:rFonts w:ascii="Times New Roman" w:hAnsi="Times New Roman" w:cs="Times New Roman"/>
        </w:rPr>
      </w:pPr>
      <w:r>
        <w:rPr>
          <w:rFonts w:ascii="Times New Roman" w:hAnsi="Times New Roman" w:cs="Times New Roman"/>
        </w:rPr>
        <w:t xml:space="preserve">2. </w:t>
      </w:r>
      <w:r>
        <w:rPr>
          <w:rFonts w:hint="eastAsia" w:ascii="Times New Roman" w:hAnsi="Times New Roman" w:cs="宋体"/>
        </w:rPr>
        <w:t>在上报省里时，不包括批发零售、住宿餐饮、银行证券保险、房地产开发和带有公益性质的企业。</w:t>
      </w:r>
    </w:p>
    <w:p>
      <w:pPr>
        <w:spacing w:line="320" w:lineRule="exact"/>
        <w:rPr>
          <w:rFonts w:ascii="Times New Roman" w:hAnsi="Times New Roman" w:cs="Times New Roman"/>
        </w:rPr>
      </w:pPr>
      <w:r>
        <w:rPr>
          <w:rFonts w:ascii="Times New Roman" w:hAnsi="Times New Roman" w:cs="Times New Roman"/>
        </w:rPr>
        <w:t xml:space="preserve">3. </w:t>
      </w:r>
      <w:r>
        <w:rPr>
          <w:rFonts w:hint="eastAsia" w:ascii="Times New Roman" w:hAnsi="Times New Roman" w:cs="宋体"/>
        </w:rPr>
        <w:t>各区、县（市）负责取数、核实、评价。</w:t>
      </w:r>
    </w:p>
    <w:p>
      <w:pPr>
        <w:spacing w:line="320" w:lineRule="exact"/>
        <w:rPr>
          <w:rFonts w:ascii="Times New Roman" w:hAnsi="Times New Roman" w:cs="Times New Roman"/>
        </w:rPr>
      </w:pPr>
      <w:r>
        <w:rPr>
          <w:rFonts w:ascii="Times New Roman" w:hAnsi="Times New Roman" w:cs="Times New Roman"/>
        </w:rPr>
        <w:t xml:space="preserve">4. </w:t>
      </w:r>
      <w:r>
        <w:rPr>
          <w:rFonts w:hint="eastAsia" w:ascii="Times New Roman" w:hAnsi="Times New Roman" w:cs="宋体"/>
        </w:rPr>
        <w:t>按照收入法计算增加值，计算方法：增加值</w:t>
      </w:r>
      <w:r>
        <w:rPr>
          <w:rFonts w:ascii="Times New Roman" w:hAnsi="Times New Roman" w:cs="Times New Roman"/>
        </w:rPr>
        <w:t>=</w:t>
      </w:r>
      <w:r>
        <w:rPr>
          <w:rFonts w:hint="eastAsia" w:ascii="Times New Roman" w:hAnsi="Times New Roman" w:cs="宋体"/>
        </w:rPr>
        <w:t>固定资产折旧</w:t>
      </w:r>
      <w:r>
        <w:rPr>
          <w:rFonts w:ascii="Times New Roman" w:hAnsi="Times New Roman" w:cs="Times New Roman"/>
        </w:rPr>
        <w:t>+</w:t>
      </w:r>
      <w:r>
        <w:rPr>
          <w:rFonts w:hint="eastAsia" w:ascii="Times New Roman" w:hAnsi="Times New Roman" w:cs="宋体"/>
        </w:rPr>
        <w:t>劳动者报酬</w:t>
      </w:r>
      <w:r>
        <w:rPr>
          <w:rFonts w:ascii="Times New Roman" w:hAnsi="Times New Roman" w:cs="Times New Roman"/>
        </w:rPr>
        <w:t>+</w:t>
      </w:r>
      <w:r>
        <w:rPr>
          <w:rFonts w:hint="eastAsia" w:ascii="Times New Roman" w:hAnsi="Times New Roman" w:cs="宋体"/>
        </w:rPr>
        <w:t>生产税净值</w:t>
      </w:r>
      <w:r>
        <w:rPr>
          <w:rFonts w:ascii="Times New Roman" w:hAnsi="Times New Roman" w:cs="Times New Roman"/>
        </w:rPr>
        <w:t>+</w:t>
      </w:r>
      <w:r>
        <w:rPr>
          <w:rFonts w:hint="eastAsia" w:ascii="Times New Roman" w:hAnsi="Times New Roman" w:cs="宋体"/>
        </w:rPr>
        <w:t>营业盈余。</w:t>
      </w:r>
    </w:p>
    <w:p>
      <w:pPr>
        <w:spacing w:line="320" w:lineRule="exact"/>
        <w:rPr>
          <w:rFonts w:ascii="Times New Roman" w:hAnsi="Times New Roman" w:cs="Times New Roman"/>
        </w:rPr>
      </w:pPr>
      <w:r>
        <w:rPr>
          <w:rFonts w:ascii="Times New Roman" w:hAnsi="Times New Roman" w:cs="Times New Roman"/>
        </w:rPr>
        <w:t xml:space="preserve">5. </w:t>
      </w:r>
      <w:r>
        <w:rPr>
          <w:rFonts w:hint="eastAsia" w:ascii="Times New Roman" w:hAnsi="Times New Roman" w:cs="宋体"/>
        </w:rPr>
        <w:t>租赁或其他方式占用的建筑面积（</w:t>
      </w:r>
      <w:r>
        <w:rPr>
          <w:rFonts w:ascii="Times New Roman" w:hAnsi="Times New Roman" w:cs="Times New Roman"/>
        </w:rPr>
        <w:t>m</w:t>
      </w:r>
      <w:r>
        <w:rPr>
          <w:rFonts w:ascii="Times New Roman" w:hAnsi="Times New Roman" w:cs="Times New Roman"/>
          <w:vertAlign w:val="superscript"/>
        </w:rPr>
        <w:t>2</w:t>
      </w:r>
      <w:r>
        <w:rPr>
          <w:rFonts w:hint="eastAsia" w:ascii="Times New Roman" w:hAnsi="Times New Roman" w:cs="宋体"/>
        </w:rPr>
        <w:t>）、土地面积（</w:t>
      </w:r>
      <w:r>
        <w:rPr>
          <w:rFonts w:ascii="Times New Roman" w:hAnsi="Times New Roman" w:cs="Times New Roman"/>
        </w:rPr>
        <w:t>m</w:t>
      </w:r>
      <w:r>
        <w:rPr>
          <w:rFonts w:ascii="Times New Roman" w:hAnsi="Times New Roman" w:cs="Times New Roman"/>
          <w:vertAlign w:val="superscript"/>
        </w:rPr>
        <w:t>2</w:t>
      </w:r>
      <w:r>
        <w:rPr>
          <w:rFonts w:hint="eastAsia" w:ascii="Times New Roman" w:hAnsi="Times New Roman" w:cs="宋体"/>
        </w:rPr>
        <w:t>）、租金总额（千元）由企业自主上报，仅作参考。折算公式为：土地面积（</w:t>
      </w:r>
      <w:r>
        <w:rPr>
          <w:rFonts w:ascii="Times New Roman" w:hAnsi="Times New Roman" w:cs="Times New Roman"/>
        </w:rPr>
        <w:t>Q</w:t>
      </w:r>
      <w:r>
        <w:rPr>
          <w:rFonts w:hint="eastAsia" w:ascii="Times New Roman" w:hAnsi="Times New Roman" w:cs="宋体"/>
        </w:rPr>
        <w:t>）</w:t>
      </w:r>
      <w:r>
        <w:rPr>
          <w:rFonts w:ascii="Times New Roman" w:hAnsi="Times New Roman" w:cs="Times New Roman"/>
        </w:rPr>
        <w:t>=∑</w:t>
      </w:r>
      <w:r>
        <w:rPr>
          <w:rFonts w:hint="eastAsia" w:ascii="Times New Roman" w:hAnsi="Times New Roman" w:cs="宋体"/>
        </w:rPr>
        <w:t>（租赁的建筑面积（</w:t>
      </w:r>
      <w:r>
        <w:rPr>
          <w:rFonts w:ascii="Times New Roman" w:hAnsi="Times New Roman" w:cs="Times New Roman"/>
        </w:rPr>
        <w:t>P</w:t>
      </w:r>
      <w:r>
        <w:rPr>
          <w:rFonts w:hint="eastAsia" w:ascii="Times New Roman" w:hAnsi="Times New Roman" w:cs="宋体"/>
        </w:rPr>
        <w:t>）</w:t>
      </w:r>
      <w:r>
        <w:rPr>
          <w:rFonts w:ascii="Times New Roman" w:hAnsi="Times New Roman" w:cs="Times New Roman"/>
        </w:rPr>
        <w:t>/</w:t>
      </w:r>
      <w:r>
        <w:rPr>
          <w:rFonts w:hint="eastAsia" w:ascii="Times New Roman" w:hAnsi="Times New Roman" w:cs="宋体"/>
        </w:rPr>
        <w:t>容积率）</w:t>
      </w:r>
    </w:p>
    <w:p>
      <w:pPr>
        <w:spacing w:line="320" w:lineRule="exact"/>
        <w:rPr>
          <w:rFonts w:ascii="Times New Roman" w:hAnsi="Times New Roman" w:cs="Times New Roman"/>
        </w:rPr>
      </w:pPr>
      <w:r>
        <w:rPr>
          <w:rFonts w:ascii="Times New Roman" w:hAnsi="Times New Roman" w:cs="Times New Roman"/>
        </w:rPr>
        <w:t xml:space="preserve">6. </w:t>
      </w:r>
      <w:r>
        <w:rPr>
          <w:rFonts w:hint="eastAsia" w:ascii="Times New Roman" w:hAnsi="Times New Roman" w:cs="宋体"/>
        </w:rPr>
        <w:t>是否上市企业，填写</w:t>
      </w:r>
      <w:r>
        <w:rPr>
          <w:rFonts w:ascii="Times New Roman" w:hAnsi="Times New Roman" w:cs="Times New Roman"/>
        </w:rPr>
        <w:t>“</w:t>
      </w:r>
      <w:r>
        <w:rPr>
          <w:rFonts w:hint="eastAsia" w:ascii="Times New Roman" w:hAnsi="Times New Roman" w:cs="宋体"/>
        </w:rPr>
        <w:t>是</w:t>
      </w:r>
      <w:r>
        <w:rPr>
          <w:rFonts w:ascii="Times New Roman" w:hAnsi="Times New Roman" w:cs="Times New Roman"/>
        </w:rPr>
        <w:t>”</w:t>
      </w:r>
      <w:r>
        <w:rPr>
          <w:rFonts w:hint="eastAsia" w:ascii="Times New Roman" w:hAnsi="Times New Roman" w:cs="宋体"/>
        </w:rPr>
        <w:t>或</w:t>
      </w:r>
      <w:r>
        <w:rPr>
          <w:rFonts w:ascii="Times New Roman" w:hAnsi="Times New Roman" w:cs="Times New Roman"/>
        </w:rPr>
        <w:t>“</w:t>
      </w:r>
      <w:r>
        <w:rPr>
          <w:rFonts w:hint="eastAsia" w:ascii="Times New Roman" w:hAnsi="Times New Roman" w:cs="宋体"/>
        </w:rPr>
        <w:t>否</w:t>
      </w:r>
      <w:r>
        <w:rPr>
          <w:rFonts w:ascii="Times New Roman" w:hAnsi="Times New Roman" w:cs="Times New Roman"/>
        </w:rPr>
        <w:t>”</w:t>
      </w:r>
      <w:r>
        <w:rPr>
          <w:rFonts w:hint="eastAsia" w:ascii="Times New Roman" w:hAnsi="Times New Roman" w:cs="宋体"/>
        </w:rPr>
        <w:t>，若新三板上市，请注明</w:t>
      </w:r>
      <w:r>
        <w:rPr>
          <w:rFonts w:ascii="Times New Roman" w:hAnsi="Times New Roman" w:cs="Times New Roman"/>
        </w:rPr>
        <w:t>“</w:t>
      </w:r>
      <w:r>
        <w:rPr>
          <w:rFonts w:hint="eastAsia" w:ascii="Times New Roman" w:hAnsi="Times New Roman" w:cs="宋体"/>
        </w:rPr>
        <w:t>新三板</w:t>
      </w:r>
      <w:r>
        <w:rPr>
          <w:rFonts w:ascii="Times New Roman" w:hAnsi="Times New Roman" w:cs="Times New Roman"/>
        </w:rPr>
        <w:t>”</w:t>
      </w:r>
      <w:r>
        <w:rPr>
          <w:rFonts w:hint="eastAsia" w:ascii="Times New Roman" w:hAnsi="Times New Roman" w:cs="宋体"/>
        </w:rPr>
        <w:t>。</w:t>
      </w:r>
    </w:p>
    <w:p>
      <w:pPr>
        <w:spacing w:line="320" w:lineRule="exact"/>
        <w:rPr>
          <w:rFonts w:ascii="Times New Roman" w:hAnsi="Times New Roman" w:cs="Times New Roman"/>
        </w:rPr>
      </w:pPr>
      <w:r>
        <w:rPr>
          <w:rFonts w:ascii="Times New Roman" w:hAnsi="Times New Roman" w:cs="Times New Roman"/>
        </w:rPr>
        <w:t xml:space="preserve">7. </w:t>
      </w:r>
      <w:r>
        <w:rPr>
          <w:rFonts w:hint="eastAsia" w:ascii="Times New Roman" w:hAnsi="Times New Roman" w:cs="宋体"/>
        </w:rPr>
        <w:t>领军企业、单打冠军、隐形冠军、跨界融合型企业、平台型企业、独角兽或潜在独角兽企业请另附商业模式、关键运营指标以及行业地位的简要说明。</w:t>
      </w:r>
    </w:p>
    <w:p>
      <w:pPr>
        <w:rPr>
          <w:rFonts w:ascii="Times New Roman" w:hAnsi="Times New Roman" w:eastAsia="仿宋_GB2312" w:cs="Times New Roman"/>
          <w:sz w:val="32"/>
          <w:szCs w:val="32"/>
        </w:rPr>
      </w:pPr>
      <w:r>
        <w:rPr>
          <w:rFonts w:ascii="Times New Roman" w:hAnsi="Times New Roman" w:cs="Times New Roman"/>
        </w:rPr>
        <w:t xml:space="preserve">8. </w:t>
      </w:r>
      <w:r>
        <w:rPr>
          <w:rFonts w:hint="eastAsia" w:ascii="Times New Roman" w:hAnsi="Times New Roman" w:cs="宋体"/>
        </w:rPr>
        <w:t>若指标数字本身为零，请务必填写</w:t>
      </w:r>
      <w:r>
        <w:rPr>
          <w:rFonts w:ascii="Times New Roman" w:hAnsi="Times New Roman" w:cs="Times New Roman"/>
        </w:rPr>
        <w:t>“0”</w:t>
      </w:r>
      <w:r>
        <w:rPr>
          <w:rFonts w:hint="eastAsia" w:ascii="Times New Roman" w:hAnsi="Times New Roman" w:cs="宋体"/>
        </w:rPr>
        <w:t>，不能为空或其他符号。</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1" w:fontKey="{03545337-B7B4-4D9C-9D00-FF0A6870A732}"/>
  </w:font>
  <w:font w:name="仿宋_GB2312">
    <w:panose1 w:val="02010609030101010101"/>
    <w:charset w:val="86"/>
    <w:family w:val="modern"/>
    <w:pitch w:val="default"/>
    <w:sig w:usb0="00000001" w:usb1="080E0000" w:usb2="00000000" w:usb3="00000000" w:csb0="00040000" w:csb1="00000000"/>
    <w:embedRegular r:id="rId2" w:fontKey="{26A9A7B5-EA28-47DE-B1C6-D78E7A3BD3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F4655"/>
    <w:rsid w:val="3DCF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2019-06-25T06:58:00Z</dcterms:created>
  <dc:creator>-邵嘉达</dc:creator>
  <cp:lastModifiedBy>-邵嘉达</cp:lastModifiedBy>
  <dcterms:modified xsi:type="dcterms:W3CDTF">2019-06-25T06:59:24Z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