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hint="eastAsia" w:ascii="宋体" w:hAnsi="宋体" w:cs="Arial"/>
          <w:b/>
          <w:sz w:val="72"/>
          <w:szCs w:val="72"/>
        </w:rPr>
      </w:pPr>
      <w:r>
        <w:rPr>
          <w:rFonts w:hint="eastAsia" w:ascii="宋体" w:hAnsi="宋体"/>
          <w:b/>
          <w:sz w:val="52"/>
          <w:szCs w:val="52"/>
          <w:lang w:eastAsia="zh-CN"/>
        </w:rPr>
        <w:t>绍兴市发展和改革委员会下属单位财务外包服务项目</w:t>
      </w:r>
    </w:p>
    <w:p>
      <w:pPr>
        <w:spacing w:line="360" w:lineRule="auto"/>
        <w:jc w:val="distribute"/>
        <w:outlineLvl w:val="0"/>
        <w:rPr>
          <w:rFonts w:hint="eastAsia" w:ascii="宋体" w:hAnsi="宋体" w:cs="Arial"/>
          <w:b/>
          <w:sz w:val="72"/>
          <w:szCs w:val="72"/>
        </w:rPr>
      </w:pPr>
      <w:r>
        <w:rPr>
          <w:rFonts w:hint="eastAsia" w:ascii="宋体" w:hAnsi="宋体" w:cs="Arial"/>
          <w:b/>
          <w:sz w:val="72"/>
          <w:szCs w:val="72"/>
        </w:rPr>
        <w:t>竞</w:t>
      </w:r>
    </w:p>
    <w:p>
      <w:pPr>
        <w:spacing w:line="360" w:lineRule="auto"/>
        <w:jc w:val="distribute"/>
        <w:outlineLvl w:val="0"/>
        <w:rPr>
          <w:rFonts w:hint="eastAsia" w:ascii="宋体" w:hAnsi="宋体" w:cs="Arial"/>
          <w:b/>
          <w:sz w:val="72"/>
          <w:szCs w:val="72"/>
        </w:rPr>
      </w:pPr>
      <w:r>
        <w:rPr>
          <w:rFonts w:hint="eastAsia" w:ascii="宋体" w:hAnsi="宋体" w:cs="Arial"/>
          <w:b/>
          <w:sz w:val="72"/>
          <w:szCs w:val="72"/>
        </w:rPr>
        <w:t>争</w:t>
      </w:r>
    </w:p>
    <w:p>
      <w:pPr>
        <w:spacing w:line="360" w:lineRule="auto"/>
        <w:jc w:val="distribute"/>
        <w:outlineLvl w:val="0"/>
        <w:rPr>
          <w:rFonts w:hint="eastAsia" w:ascii="宋体" w:hAnsi="宋体" w:cs="Arial"/>
          <w:b/>
          <w:sz w:val="72"/>
          <w:szCs w:val="72"/>
        </w:rPr>
      </w:pPr>
      <w:r>
        <w:rPr>
          <w:rFonts w:hint="eastAsia" w:ascii="宋体" w:hAnsi="宋体" w:cs="Arial"/>
          <w:b/>
          <w:sz w:val="72"/>
          <w:szCs w:val="72"/>
        </w:rPr>
        <w:t>性</w:t>
      </w:r>
    </w:p>
    <w:p>
      <w:pPr>
        <w:spacing w:line="360" w:lineRule="auto"/>
        <w:jc w:val="distribute"/>
        <w:outlineLvl w:val="0"/>
        <w:rPr>
          <w:rFonts w:hint="eastAsia" w:ascii="宋体" w:hAnsi="宋体" w:cs="Arial"/>
          <w:b/>
          <w:sz w:val="72"/>
          <w:szCs w:val="72"/>
        </w:rPr>
      </w:pPr>
      <w:r>
        <w:rPr>
          <w:rFonts w:hint="eastAsia" w:ascii="宋体" w:hAnsi="宋体" w:cs="Arial"/>
          <w:b/>
          <w:sz w:val="72"/>
          <w:szCs w:val="72"/>
        </w:rPr>
        <w:t>磋</w:t>
      </w:r>
    </w:p>
    <w:p>
      <w:pPr>
        <w:spacing w:line="360" w:lineRule="auto"/>
        <w:jc w:val="distribute"/>
        <w:outlineLvl w:val="0"/>
        <w:rPr>
          <w:rFonts w:hint="eastAsia" w:ascii="宋体" w:hAnsi="宋体" w:cs="Arial"/>
          <w:b/>
          <w:sz w:val="72"/>
          <w:szCs w:val="72"/>
        </w:rPr>
      </w:pPr>
      <w:r>
        <w:rPr>
          <w:rFonts w:hint="eastAsia" w:ascii="宋体" w:hAnsi="宋体" w:cs="Arial"/>
          <w:b/>
          <w:sz w:val="72"/>
          <w:szCs w:val="72"/>
        </w:rPr>
        <w:t>商</w:t>
      </w:r>
    </w:p>
    <w:p>
      <w:pPr>
        <w:spacing w:line="360" w:lineRule="auto"/>
        <w:jc w:val="center"/>
        <w:outlineLvl w:val="0"/>
        <w:rPr>
          <w:rFonts w:hint="eastAsia" w:ascii="宋体" w:hAnsi="宋体"/>
          <w:b/>
          <w:sz w:val="72"/>
          <w:szCs w:val="72"/>
        </w:rPr>
      </w:pPr>
      <w:r>
        <w:rPr>
          <w:rFonts w:hint="eastAsia" w:ascii="宋体" w:hAnsi="宋体"/>
          <w:b/>
          <w:sz w:val="72"/>
          <w:szCs w:val="72"/>
        </w:rPr>
        <w:t>文</w:t>
      </w:r>
    </w:p>
    <w:p>
      <w:pPr>
        <w:spacing w:line="360" w:lineRule="auto"/>
        <w:jc w:val="center"/>
        <w:outlineLvl w:val="0"/>
        <w:rPr>
          <w:rFonts w:hint="eastAsia" w:ascii="宋体" w:hAnsi="宋体"/>
          <w:b/>
          <w:sz w:val="44"/>
        </w:rPr>
      </w:pPr>
      <w:r>
        <w:rPr>
          <w:rFonts w:hint="eastAsia" w:ascii="宋体" w:hAnsi="宋体"/>
          <w:b/>
          <w:sz w:val="72"/>
          <w:szCs w:val="72"/>
        </w:rPr>
        <w:t>件</w:t>
      </w:r>
      <w:r>
        <w:rPr>
          <w:rFonts w:hint="eastAsia" w:ascii="宋体" w:hAnsi="宋体"/>
          <w:b/>
          <w:sz w:val="30"/>
        </w:rPr>
        <w:t xml:space="preserve"> </w:t>
      </w:r>
    </w:p>
    <w:p>
      <w:pPr>
        <w:spacing w:line="360" w:lineRule="auto"/>
        <w:jc w:val="center"/>
        <w:outlineLvl w:val="0"/>
        <w:rPr>
          <w:rFonts w:hint="eastAsia" w:ascii="宋体" w:hAnsi="宋体"/>
          <w:sz w:val="44"/>
        </w:rPr>
      </w:pPr>
    </w:p>
    <w:p>
      <w:pPr>
        <w:spacing w:line="360" w:lineRule="auto"/>
        <w:jc w:val="center"/>
        <w:rPr>
          <w:rFonts w:hint="eastAsia" w:ascii="宋体" w:hAnsi="宋体" w:eastAsia="宋体"/>
          <w:b/>
          <w:sz w:val="28"/>
          <w:szCs w:val="28"/>
          <w:lang w:eastAsia="zh-CN"/>
        </w:rPr>
      </w:pPr>
      <w:r>
        <w:rPr>
          <w:rFonts w:hint="eastAsia" w:ascii="宋体" w:hAnsi="宋体"/>
          <w:b/>
          <w:color w:val="auto"/>
          <w:sz w:val="28"/>
          <w:szCs w:val="28"/>
        </w:rPr>
        <w:t>磋商编号:</w:t>
      </w:r>
      <w:r>
        <w:rPr>
          <w:rFonts w:hint="eastAsia" w:ascii="宋体" w:hAnsi="宋体"/>
          <w:b/>
          <w:color w:val="auto"/>
          <w:sz w:val="28"/>
          <w:szCs w:val="28"/>
          <w:lang w:eastAsia="zh-CN"/>
        </w:rPr>
        <w:t>SXCG2021TY020</w:t>
      </w:r>
    </w:p>
    <w:tbl>
      <w:tblPr>
        <w:tblStyle w:val="40"/>
        <w:tblW w:w="8354" w:type="dxa"/>
        <w:jc w:val="center"/>
        <w:tblLayout w:type="fixed"/>
        <w:tblCellMar>
          <w:top w:w="0" w:type="dxa"/>
          <w:left w:w="108" w:type="dxa"/>
          <w:bottom w:w="0" w:type="dxa"/>
          <w:right w:w="108" w:type="dxa"/>
        </w:tblCellMar>
      </w:tblPr>
      <w:tblGrid>
        <w:gridCol w:w="2356"/>
        <w:gridCol w:w="5998"/>
      </w:tblGrid>
      <w:tr>
        <w:tblPrEx>
          <w:tblCellMar>
            <w:top w:w="0" w:type="dxa"/>
            <w:left w:w="108" w:type="dxa"/>
            <w:bottom w:w="0" w:type="dxa"/>
            <w:right w:w="108" w:type="dxa"/>
          </w:tblCellMar>
        </w:tblPrEx>
        <w:trPr>
          <w:trHeight w:val="443" w:hRule="atLeast"/>
          <w:jc w:val="center"/>
        </w:trPr>
        <w:tc>
          <w:tcPr>
            <w:tcW w:w="2356" w:type="dxa"/>
            <w:vAlign w:val="top"/>
          </w:tcPr>
          <w:p>
            <w:pPr>
              <w:spacing w:line="440" w:lineRule="exact"/>
              <w:rPr>
                <w:rFonts w:hint="eastAsia" w:ascii="宋体" w:hAnsi="宋体"/>
                <w:sz w:val="28"/>
                <w:szCs w:val="28"/>
              </w:rPr>
            </w:pPr>
            <w:r>
              <w:rPr>
                <w:rFonts w:hint="eastAsia" w:ascii="宋体" w:hAnsi="宋体"/>
                <w:spacing w:val="93"/>
                <w:kern w:val="0"/>
                <w:sz w:val="28"/>
                <w:szCs w:val="28"/>
              </w:rPr>
              <w:t>采购单</w:t>
            </w:r>
            <w:r>
              <w:rPr>
                <w:rFonts w:hint="eastAsia" w:ascii="宋体" w:hAnsi="宋体"/>
                <w:spacing w:val="1"/>
                <w:kern w:val="0"/>
                <w:sz w:val="28"/>
                <w:szCs w:val="28"/>
              </w:rPr>
              <w:t>位</w:t>
            </w:r>
            <w:r>
              <w:rPr>
                <w:rFonts w:hint="eastAsia" w:ascii="宋体" w:hAnsi="宋体"/>
                <w:sz w:val="28"/>
                <w:szCs w:val="28"/>
              </w:rPr>
              <w:t>：</w:t>
            </w:r>
          </w:p>
        </w:tc>
        <w:tc>
          <w:tcPr>
            <w:tcW w:w="5998" w:type="dxa"/>
            <w:vAlign w:val="center"/>
          </w:tcPr>
          <w:p>
            <w:pPr>
              <w:spacing w:line="440" w:lineRule="exact"/>
              <w:rPr>
                <w:rFonts w:hint="eastAsia" w:ascii="宋体" w:hAnsi="宋体" w:eastAsia="宋体"/>
                <w:bCs/>
                <w:sz w:val="28"/>
                <w:szCs w:val="28"/>
                <w:lang w:eastAsia="zh-CN"/>
              </w:rPr>
            </w:pPr>
            <w:r>
              <w:rPr>
                <w:rFonts w:hint="eastAsia" w:ascii="宋体" w:hAnsi="宋体"/>
                <w:sz w:val="28"/>
                <w:szCs w:val="28"/>
                <w:lang w:eastAsia="zh-CN"/>
              </w:rPr>
              <w:t>绍兴市发展和改革委员会</w:t>
            </w:r>
          </w:p>
        </w:tc>
      </w:tr>
      <w:tr>
        <w:tblPrEx>
          <w:tblCellMar>
            <w:top w:w="0" w:type="dxa"/>
            <w:left w:w="108" w:type="dxa"/>
            <w:bottom w:w="0" w:type="dxa"/>
            <w:right w:w="108" w:type="dxa"/>
          </w:tblCellMar>
        </w:tblPrEx>
        <w:trPr>
          <w:trHeight w:val="368" w:hRule="atLeast"/>
          <w:jc w:val="center"/>
        </w:trPr>
        <w:tc>
          <w:tcPr>
            <w:tcW w:w="2356" w:type="dxa"/>
            <w:vAlign w:val="top"/>
          </w:tcPr>
          <w:p>
            <w:pPr>
              <w:spacing w:line="440" w:lineRule="exact"/>
              <w:rPr>
                <w:rFonts w:hint="eastAsia" w:ascii="宋体" w:hAnsi="宋体"/>
                <w:sz w:val="28"/>
                <w:szCs w:val="28"/>
              </w:rPr>
            </w:pPr>
            <w:r>
              <w:rPr>
                <w:rFonts w:hint="eastAsia" w:ascii="宋体" w:hAnsi="宋体"/>
                <w:sz w:val="28"/>
                <w:szCs w:val="28"/>
              </w:rPr>
              <w:t>采购代理机构：</w:t>
            </w:r>
          </w:p>
        </w:tc>
        <w:tc>
          <w:tcPr>
            <w:tcW w:w="5998" w:type="dxa"/>
            <w:vAlign w:val="top"/>
          </w:tcPr>
          <w:p>
            <w:pPr>
              <w:spacing w:line="440" w:lineRule="exact"/>
              <w:rPr>
                <w:rFonts w:hint="eastAsia" w:ascii="宋体" w:hAnsi="宋体" w:eastAsia="宋体"/>
                <w:sz w:val="28"/>
                <w:szCs w:val="28"/>
                <w:lang w:eastAsia="zh-CN"/>
              </w:rPr>
            </w:pPr>
            <w:r>
              <w:rPr>
                <w:rFonts w:hint="eastAsia" w:ascii="宋体" w:hAnsi="宋体"/>
                <w:color w:val="auto"/>
                <w:sz w:val="28"/>
                <w:szCs w:val="28"/>
                <w:lang w:eastAsia="zh-CN"/>
              </w:rPr>
              <w:t>泰宇建筑工程技术咨询有限公司绍兴分公司</w:t>
            </w:r>
          </w:p>
        </w:tc>
      </w:tr>
      <w:tr>
        <w:tblPrEx>
          <w:tblCellMar>
            <w:top w:w="0" w:type="dxa"/>
            <w:left w:w="108" w:type="dxa"/>
            <w:bottom w:w="0" w:type="dxa"/>
            <w:right w:w="108" w:type="dxa"/>
          </w:tblCellMar>
        </w:tblPrEx>
        <w:trPr>
          <w:trHeight w:val="397" w:hRule="atLeast"/>
          <w:jc w:val="center"/>
        </w:trPr>
        <w:tc>
          <w:tcPr>
            <w:tcW w:w="2356" w:type="dxa"/>
            <w:vAlign w:val="center"/>
          </w:tcPr>
          <w:p>
            <w:pPr>
              <w:spacing w:line="440" w:lineRule="exact"/>
              <w:rPr>
                <w:rFonts w:hint="eastAsia" w:ascii="宋体" w:hAnsi="宋体"/>
                <w:sz w:val="28"/>
                <w:szCs w:val="28"/>
              </w:rPr>
            </w:pPr>
            <w:r>
              <w:rPr>
                <w:rFonts w:hint="eastAsia" w:ascii="宋体" w:hAnsi="宋体"/>
                <w:spacing w:val="93"/>
                <w:kern w:val="0"/>
                <w:sz w:val="28"/>
                <w:szCs w:val="28"/>
              </w:rPr>
              <w:t>监督单</w:t>
            </w:r>
            <w:r>
              <w:rPr>
                <w:rFonts w:hint="eastAsia" w:ascii="宋体" w:hAnsi="宋体"/>
                <w:spacing w:val="1"/>
                <w:kern w:val="0"/>
                <w:sz w:val="28"/>
                <w:szCs w:val="28"/>
              </w:rPr>
              <w:t>位</w:t>
            </w:r>
            <w:r>
              <w:rPr>
                <w:rFonts w:hint="eastAsia" w:ascii="宋体" w:hAnsi="宋体"/>
                <w:sz w:val="28"/>
                <w:szCs w:val="28"/>
              </w:rPr>
              <w:t>：</w:t>
            </w:r>
          </w:p>
        </w:tc>
        <w:tc>
          <w:tcPr>
            <w:tcW w:w="5998" w:type="dxa"/>
            <w:vAlign w:val="top"/>
          </w:tcPr>
          <w:p>
            <w:pPr>
              <w:spacing w:line="440" w:lineRule="exact"/>
              <w:rPr>
                <w:rFonts w:hint="eastAsia" w:ascii="宋体" w:hAnsi="宋体"/>
                <w:sz w:val="28"/>
                <w:szCs w:val="28"/>
              </w:rPr>
            </w:pPr>
            <w:r>
              <w:rPr>
                <w:rFonts w:hint="eastAsia" w:ascii="宋体" w:hAnsi="宋体"/>
                <w:sz w:val="28"/>
              </w:rPr>
              <w:t>绍兴市财政局</w:t>
            </w:r>
          </w:p>
        </w:tc>
      </w:tr>
      <w:tr>
        <w:tblPrEx>
          <w:tblCellMar>
            <w:top w:w="0" w:type="dxa"/>
            <w:left w:w="108" w:type="dxa"/>
            <w:bottom w:w="0" w:type="dxa"/>
            <w:right w:w="108" w:type="dxa"/>
          </w:tblCellMar>
        </w:tblPrEx>
        <w:trPr>
          <w:trHeight w:val="397" w:hRule="atLeast"/>
          <w:jc w:val="center"/>
        </w:trPr>
        <w:tc>
          <w:tcPr>
            <w:tcW w:w="8354" w:type="dxa"/>
            <w:gridSpan w:val="2"/>
            <w:vAlign w:val="top"/>
          </w:tcPr>
          <w:p>
            <w:pPr>
              <w:spacing w:line="440" w:lineRule="exact"/>
              <w:jc w:val="center"/>
              <w:rPr>
                <w:rFonts w:ascii="宋体" w:hAnsi="宋体"/>
                <w:b/>
                <w:sz w:val="28"/>
                <w:szCs w:val="28"/>
              </w:rPr>
            </w:pPr>
            <w:r>
              <w:rPr>
                <w:rFonts w:hint="eastAsia" w:ascii="宋体" w:hAnsi="宋体"/>
                <w:sz w:val="28"/>
                <w:szCs w:val="28"/>
              </w:rPr>
              <w:t>二○二</w:t>
            </w:r>
            <w:r>
              <w:rPr>
                <w:rFonts w:hint="eastAsia" w:ascii="宋体" w:hAnsi="宋体"/>
                <w:sz w:val="28"/>
                <w:szCs w:val="28"/>
                <w:lang w:eastAsia="zh-CN"/>
              </w:rPr>
              <w:t>一</w:t>
            </w:r>
            <w:r>
              <w:rPr>
                <w:rFonts w:hint="eastAsia" w:ascii="宋体" w:hAnsi="宋体"/>
                <w:sz w:val="28"/>
                <w:szCs w:val="28"/>
              </w:rPr>
              <w:t>年</w:t>
            </w:r>
            <w:r>
              <w:rPr>
                <w:rFonts w:hint="eastAsia" w:ascii="宋体" w:hAnsi="宋体"/>
                <w:sz w:val="28"/>
                <w:szCs w:val="28"/>
                <w:lang w:eastAsia="zh-CN"/>
              </w:rPr>
              <w:t>七</w:t>
            </w:r>
            <w:r>
              <w:rPr>
                <w:rFonts w:hint="eastAsia" w:ascii="宋体" w:hAnsi="宋体"/>
                <w:sz w:val="28"/>
                <w:szCs w:val="28"/>
              </w:rPr>
              <w:t>月</w:t>
            </w:r>
          </w:p>
        </w:tc>
      </w:tr>
    </w:tbl>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p>
    <w:p>
      <w:pPr>
        <w:spacing w:line="360" w:lineRule="auto"/>
        <w:jc w:val="center"/>
        <w:rPr>
          <w:rFonts w:hint="eastAsia" w:ascii="宋体" w:hAnsi="宋体"/>
          <w:b/>
          <w:sz w:val="44"/>
          <w:szCs w:val="44"/>
        </w:rPr>
      </w:pPr>
      <w:r>
        <w:rPr>
          <w:rFonts w:hint="eastAsia" w:ascii="宋体" w:hAnsi="宋体"/>
          <w:b/>
          <w:sz w:val="44"/>
          <w:szCs w:val="44"/>
        </w:rPr>
        <w:t>目录</w:t>
      </w:r>
    </w:p>
    <w:p>
      <w:pPr>
        <w:spacing w:line="360" w:lineRule="auto"/>
        <w:jc w:val="center"/>
        <w:rPr>
          <w:rFonts w:hint="eastAsia" w:ascii="宋体" w:hAnsi="宋体"/>
          <w:b/>
          <w:sz w:val="44"/>
          <w:szCs w:val="44"/>
        </w:rPr>
      </w:pPr>
    </w:p>
    <w:p>
      <w:pPr>
        <w:spacing w:line="360" w:lineRule="auto"/>
        <w:jc w:val="center"/>
        <w:rPr>
          <w:rFonts w:hint="eastAsia" w:ascii="宋体" w:hAnsi="宋体"/>
        </w:rPr>
      </w:pP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第一部分    竞争性磋商公告</w:t>
      </w: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第二部分    磋商响应须知</w:t>
      </w: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第三部分    磋商项目范围及要求</w:t>
      </w: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第四部分    合同的主要条款</w:t>
      </w: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第五部分    磋商方法及标准</w:t>
      </w:r>
    </w:p>
    <w:p>
      <w:pPr>
        <w:snapToGrid w:val="0"/>
        <w:spacing w:line="360" w:lineRule="auto"/>
        <w:ind w:firstLine="1807" w:firstLineChars="500"/>
        <w:jc w:val="left"/>
        <w:rPr>
          <w:rFonts w:hint="eastAsia" w:ascii="宋体" w:hAnsi="宋体"/>
          <w:b/>
          <w:sz w:val="36"/>
          <w:szCs w:val="36"/>
        </w:rPr>
      </w:pPr>
      <w:r>
        <w:rPr>
          <w:rFonts w:hint="eastAsia" w:ascii="宋体" w:hAnsi="宋体"/>
          <w:b/>
          <w:sz w:val="36"/>
          <w:szCs w:val="36"/>
        </w:rPr>
        <w:t>第六部分    磋商响应文件及其附件格式</w:t>
      </w: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snapToGrid w:val="0"/>
        <w:spacing w:line="360" w:lineRule="auto"/>
        <w:jc w:val="left"/>
        <w:rPr>
          <w:rFonts w:hint="eastAsia" w:ascii="宋体" w:hAnsi="宋体"/>
          <w:sz w:val="36"/>
          <w:szCs w:val="36"/>
        </w:rPr>
      </w:pPr>
    </w:p>
    <w:p>
      <w:pPr>
        <w:pStyle w:val="2"/>
        <w:numPr>
          <w:ilvl w:val="0"/>
          <w:numId w:val="0"/>
        </w:numPr>
        <w:ind w:leftChars="0"/>
        <w:rPr>
          <w:rFonts w:hint="eastAsia"/>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36"/>
          <w:szCs w:val="36"/>
        </w:rPr>
      </w:pPr>
      <w:r>
        <w:rPr>
          <w:rFonts w:hint="eastAsia" w:ascii="宋体" w:hAnsi="宋体"/>
          <w:b/>
          <w:sz w:val="36"/>
          <w:szCs w:val="36"/>
        </w:rPr>
        <w:t xml:space="preserve">第一部分 </w:t>
      </w:r>
      <w:bookmarkStart w:id="0" w:name="OLE_LINK2"/>
      <w:bookmarkStart w:id="1" w:name="OLE_LINK3"/>
      <w:r>
        <w:rPr>
          <w:rFonts w:hint="eastAsia" w:ascii="宋体" w:hAnsi="宋体"/>
          <w:b/>
          <w:sz w:val="36"/>
          <w:szCs w:val="36"/>
        </w:rPr>
        <w:t>竞争性磋商公告</w:t>
      </w:r>
      <w:bookmarkEnd w:id="0"/>
    </w:p>
    <w:p>
      <w:pPr>
        <w:pStyle w:val="66"/>
        <w:spacing w:after="0" w:afterLines="0" w:line="360" w:lineRule="auto"/>
        <w:ind w:firstLine="480"/>
        <w:rPr>
          <w:rFonts w:hint="eastAsia" w:ascii="宋体" w:hAnsi="宋体"/>
          <w:szCs w:val="24"/>
        </w:rPr>
      </w:pPr>
      <w:bookmarkStart w:id="2" w:name="OLE_LINK1"/>
      <w:r>
        <w:rPr>
          <w:rFonts w:hint="eastAsia" w:ascii="宋体" w:hAnsi="宋体"/>
          <w:color w:val="auto"/>
          <w:szCs w:val="24"/>
          <w:lang w:eastAsia="zh-CN"/>
        </w:rPr>
        <w:t>泰宇建筑工程技术咨询有限公司绍兴分公司</w:t>
      </w:r>
      <w:r>
        <w:rPr>
          <w:rFonts w:hint="eastAsia" w:ascii="宋体" w:hAnsi="宋体"/>
          <w:szCs w:val="24"/>
        </w:rPr>
        <w:t>受</w:t>
      </w:r>
      <w:r>
        <w:rPr>
          <w:rFonts w:hint="eastAsia" w:ascii="宋体" w:hAnsi="宋体"/>
          <w:szCs w:val="24"/>
          <w:lang w:eastAsia="zh-CN"/>
        </w:rPr>
        <w:t>绍兴市发展和改革委员会</w:t>
      </w:r>
      <w:r>
        <w:rPr>
          <w:rFonts w:hint="eastAsia" w:ascii="宋体" w:hAnsi="宋体"/>
          <w:szCs w:val="24"/>
        </w:rPr>
        <w:t>委托，就下列项目进行</w:t>
      </w:r>
      <w:r>
        <w:rPr>
          <w:rFonts w:hint="eastAsia" w:ascii="宋体" w:hAnsi="宋体"/>
          <w:b/>
          <w:szCs w:val="24"/>
        </w:rPr>
        <w:t>竞争性磋商，</w:t>
      </w:r>
      <w:r>
        <w:rPr>
          <w:rFonts w:hint="eastAsia" w:ascii="宋体" w:hAnsi="宋体"/>
          <w:szCs w:val="24"/>
        </w:rPr>
        <w:t>特邀请国内合格的</w:t>
      </w:r>
      <w:r>
        <w:rPr>
          <w:rFonts w:hint="eastAsia" w:ascii="宋体" w:hAnsi="宋体"/>
          <w:szCs w:val="24"/>
          <w:lang w:eastAsia="zh-CN"/>
        </w:rPr>
        <w:t>投标单位</w:t>
      </w:r>
      <w:r>
        <w:rPr>
          <w:rFonts w:hint="eastAsia" w:ascii="宋体" w:hAnsi="宋体"/>
          <w:szCs w:val="24"/>
        </w:rPr>
        <w:t>前来磋商，现将有关事项公告如下：</w:t>
      </w:r>
    </w:p>
    <w:p>
      <w:pPr>
        <w:spacing w:line="360" w:lineRule="auto"/>
        <w:ind w:firstLine="482" w:firstLineChars="200"/>
        <w:rPr>
          <w:rFonts w:hint="eastAsia" w:ascii="宋体" w:hAnsi="宋体" w:cs="Arial"/>
          <w:sz w:val="24"/>
        </w:rPr>
      </w:pPr>
      <w:r>
        <w:rPr>
          <w:rFonts w:hint="eastAsia" w:ascii="宋体" w:hAnsi="宋体"/>
          <w:b/>
          <w:color w:val="auto"/>
          <w:sz w:val="24"/>
        </w:rPr>
        <w:t>一、磋商编号：</w:t>
      </w:r>
      <w:r>
        <w:rPr>
          <w:rFonts w:hint="eastAsia" w:ascii="宋体" w:hAnsi="宋体"/>
          <w:b/>
          <w:color w:val="auto"/>
          <w:sz w:val="24"/>
          <w:lang w:eastAsia="zh-CN"/>
        </w:rPr>
        <w:t>SXCG2021TY020</w:t>
      </w:r>
      <w:r>
        <w:rPr>
          <w:rFonts w:hint="eastAsia" w:ascii="宋体" w:hAnsi="宋体"/>
          <w:b/>
          <w:color w:val="auto"/>
          <w:sz w:val="24"/>
          <w:lang w:val="en-US" w:eastAsia="zh-CN"/>
        </w:rPr>
        <w:t xml:space="preserve">  </w:t>
      </w:r>
      <w:r>
        <w:rPr>
          <w:rFonts w:hint="eastAsia" w:ascii="宋体" w:hAnsi="宋体"/>
          <w:b/>
          <w:color w:val="4F81BD" w:themeColor="accent1"/>
          <w:sz w:val="24"/>
          <w:lang w:val="en-US" w:eastAsia="zh-CN"/>
          <w14:textFill>
            <w14:solidFill>
              <w14:schemeClr w14:val="accent1"/>
            </w14:solidFill>
          </w14:textFill>
        </w:rPr>
        <w:t xml:space="preserve"> </w:t>
      </w:r>
      <w:r>
        <w:rPr>
          <w:rFonts w:hint="eastAsia" w:ascii="宋体" w:hAnsi="宋体"/>
          <w:b/>
          <w:sz w:val="24"/>
          <w:lang w:val="en-US" w:eastAsia="zh-CN"/>
        </w:rPr>
        <w:t xml:space="preserve">      </w:t>
      </w:r>
      <w:r>
        <w:rPr>
          <w:rFonts w:hint="eastAsia" w:ascii="宋体" w:hAnsi="宋体"/>
          <w:b/>
          <w:sz w:val="24"/>
        </w:rPr>
        <w:t xml:space="preserve"> </w:t>
      </w:r>
      <w:r>
        <w:rPr>
          <w:rFonts w:hint="eastAsia" w:ascii="宋体" w:hAnsi="宋体" w:cs="Arial"/>
          <w:sz w:val="24"/>
        </w:rPr>
        <w:t>采购组织类型：自行采购</w:t>
      </w:r>
      <w:r>
        <w:rPr>
          <w:rFonts w:hint="eastAsia" w:ascii="宋体" w:hAnsi="宋体" w:cs="Arial"/>
          <w:sz w:val="24"/>
          <w:lang w:val="en-US" w:eastAsia="zh-CN"/>
        </w:rPr>
        <w:t>-委托代理</w:t>
      </w:r>
    </w:p>
    <w:p>
      <w:pPr>
        <w:spacing w:line="360" w:lineRule="auto"/>
        <w:ind w:firstLine="480" w:firstLineChars="200"/>
        <w:rPr>
          <w:rFonts w:hint="eastAsia" w:ascii="宋体" w:hAnsi="宋体" w:cs="Arial"/>
          <w:szCs w:val="21"/>
        </w:rPr>
      </w:pPr>
      <w:r>
        <w:rPr>
          <w:rFonts w:hint="eastAsia" w:ascii="宋体" w:hAnsi="宋体" w:cs="Arial"/>
          <w:sz w:val="24"/>
        </w:rPr>
        <w:t>二、</w:t>
      </w:r>
      <w:r>
        <w:rPr>
          <w:rFonts w:hint="eastAsia" w:ascii="宋体" w:hAnsi="宋体" w:cs="Arial"/>
          <w:b/>
          <w:bCs/>
          <w:sz w:val="24"/>
        </w:rPr>
        <w:t>磋商项目名称及数量（</w:t>
      </w:r>
      <w:r>
        <w:rPr>
          <w:rFonts w:hint="eastAsia" w:ascii="宋体" w:hAnsi="宋体"/>
          <w:b/>
          <w:bCs/>
          <w:sz w:val="24"/>
        </w:rPr>
        <w:t>详见磋商文件</w:t>
      </w:r>
      <w:r>
        <w:rPr>
          <w:rFonts w:hint="eastAsia" w:ascii="宋体" w:hAnsi="宋体" w:cs="Arial"/>
          <w:b/>
          <w:bCs/>
          <w:sz w:val="24"/>
        </w:rPr>
        <w:t>）</w:t>
      </w:r>
    </w:p>
    <w:tbl>
      <w:tblPr>
        <w:tblStyle w:val="40"/>
        <w:tblW w:w="84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339"/>
        <w:gridCol w:w="1956"/>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559" w:type="dxa"/>
            <w:vAlign w:val="center"/>
          </w:tcPr>
          <w:p>
            <w:pPr>
              <w:spacing w:line="360" w:lineRule="auto"/>
              <w:jc w:val="center"/>
              <w:rPr>
                <w:rFonts w:hint="eastAsia" w:ascii="宋体" w:hAnsi="宋体" w:cs="Arial"/>
                <w:b/>
                <w:sz w:val="24"/>
              </w:rPr>
            </w:pPr>
            <w:r>
              <w:rPr>
                <w:rFonts w:hint="eastAsia" w:ascii="宋体" w:hAnsi="宋体" w:cs="宋体"/>
                <w:b/>
                <w:sz w:val="24"/>
              </w:rPr>
              <w:t>标项</w:t>
            </w:r>
          </w:p>
        </w:tc>
        <w:tc>
          <w:tcPr>
            <w:tcW w:w="3339" w:type="dxa"/>
            <w:vAlign w:val="center"/>
          </w:tcPr>
          <w:p>
            <w:pPr>
              <w:spacing w:line="360" w:lineRule="auto"/>
              <w:jc w:val="center"/>
              <w:rPr>
                <w:rFonts w:hint="eastAsia" w:ascii="宋体" w:hAnsi="宋体" w:cs="宋体"/>
                <w:b/>
                <w:sz w:val="24"/>
              </w:rPr>
            </w:pPr>
            <w:r>
              <w:rPr>
                <w:rFonts w:hint="eastAsia" w:ascii="宋体" w:hAnsi="宋体" w:cs="宋体"/>
                <w:b/>
                <w:sz w:val="24"/>
              </w:rPr>
              <w:t>标段名称及数量</w:t>
            </w:r>
          </w:p>
          <w:p>
            <w:pPr>
              <w:spacing w:line="360" w:lineRule="auto"/>
              <w:jc w:val="center"/>
              <w:rPr>
                <w:rFonts w:hint="eastAsia" w:ascii="宋体" w:hAnsi="宋体" w:cs="Arial"/>
                <w:b/>
                <w:sz w:val="24"/>
              </w:rPr>
            </w:pPr>
            <w:r>
              <w:rPr>
                <w:rFonts w:hint="eastAsia" w:ascii="宋体" w:hAnsi="宋体"/>
                <w:b/>
                <w:bCs/>
                <w:sz w:val="24"/>
              </w:rPr>
              <w:t>（详见磋商文件）</w:t>
            </w:r>
          </w:p>
        </w:tc>
        <w:tc>
          <w:tcPr>
            <w:tcW w:w="1956" w:type="dxa"/>
            <w:vAlign w:val="center"/>
          </w:tcPr>
          <w:p>
            <w:pPr>
              <w:spacing w:line="360" w:lineRule="auto"/>
              <w:jc w:val="center"/>
              <w:rPr>
                <w:rFonts w:hint="eastAsia" w:ascii="宋体" w:hAnsi="宋体" w:cs="Arial"/>
                <w:b/>
                <w:sz w:val="24"/>
              </w:rPr>
            </w:pPr>
            <w:r>
              <w:rPr>
                <w:rFonts w:hint="eastAsia" w:ascii="宋体" w:hAnsi="宋体" w:cs="Arial"/>
                <w:b/>
                <w:sz w:val="24"/>
              </w:rPr>
              <w:t>预算金额或上限价（单位：人民币元）</w:t>
            </w:r>
          </w:p>
        </w:tc>
        <w:tc>
          <w:tcPr>
            <w:tcW w:w="1620" w:type="dxa"/>
            <w:vAlign w:val="center"/>
          </w:tcPr>
          <w:p>
            <w:pPr>
              <w:spacing w:line="360" w:lineRule="auto"/>
              <w:jc w:val="center"/>
              <w:rPr>
                <w:rFonts w:hint="eastAsia" w:ascii="宋体" w:hAnsi="宋体" w:cs="Arial"/>
                <w:b/>
                <w:sz w:val="24"/>
              </w:rPr>
            </w:pPr>
            <w:r>
              <w:rPr>
                <w:rFonts w:hint="eastAsia" w:ascii="宋体" w:hAnsi="宋体" w:cs="Arial"/>
                <w:b/>
                <w:sz w:val="24"/>
              </w:rPr>
              <w:t>磋商保证金（单位：人民币元）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 w:hRule="atLeast"/>
        </w:trPr>
        <w:tc>
          <w:tcPr>
            <w:tcW w:w="1559" w:type="dxa"/>
            <w:vAlign w:val="center"/>
          </w:tcPr>
          <w:p>
            <w:pPr>
              <w:spacing w:line="360" w:lineRule="auto"/>
              <w:jc w:val="center"/>
              <w:rPr>
                <w:rFonts w:hint="eastAsia" w:ascii="宋体" w:hAnsi="宋体" w:cs="Arial"/>
                <w:szCs w:val="21"/>
              </w:rPr>
            </w:pPr>
            <w:r>
              <w:rPr>
                <w:rFonts w:hint="eastAsia" w:ascii="宋体" w:hAnsi="宋体" w:cs="Arial"/>
                <w:szCs w:val="21"/>
              </w:rPr>
              <w:t>1</w:t>
            </w:r>
          </w:p>
        </w:tc>
        <w:tc>
          <w:tcPr>
            <w:tcW w:w="3339" w:type="dxa"/>
            <w:vAlign w:val="center"/>
          </w:tcPr>
          <w:p>
            <w:pPr>
              <w:spacing w:line="360" w:lineRule="auto"/>
              <w:jc w:val="center"/>
              <w:rPr>
                <w:rFonts w:hint="eastAsia" w:ascii="宋体" w:hAnsi="宋体" w:eastAsia="宋体" w:cs="Arial"/>
                <w:szCs w:val="21"/>
                <w:lang w:eastAsia="zh-CN"/>
              </w:rPr>
            </w:pPr>
            <w:r>
              <w:rPr>
                <w:rFonts w:hint="eastAsia" w:ascii="宋体" w:hAnsi="宋体" w:cs="Arial"/>
                <w:szCs w:val="21"/>
                <w:lang w:eastAsia="zh-CN"/>
              </w:rPr>
              <w:t>绍兴市发展和改革委员会下属单位财务外包服务项目</w:t>
            </w:r>
          </w:p>
        </w:tc>
        <w:tc>
          <w:tcPr>
            <w:tcW w:w="1956" w:type="dxa"/>
            <w:vAlign w:val="center"/>
          </w:tcPr>
          <w:p>
            <w:pPr>
              <w:spacing w:line="360" w:lineRule="auto"/>
              <w:jc w:val="center"/>
              <w:outlineLvl w:val="0"/>
              <w:rPr>
                <w:rFonts w:hint="eastAsia" w:ascii="宋体" w:hAnsi="宋体" w:cs="Arial"/>
                <w:sz w:val="24"/>
              </w:rPr>
            </w:pPr>
            <w:r>
              <w:rPr>
                <w:rFonts w:hint="eastAsia" w:ascii="宋体" w:hAnsi="宋体"/>
                <w:sz w:val="24"/>
              </w:rPr>
              <w:t>￥</w:t>
            </w:r>
            <w:r>
              <w:rPr>
                <w:rFonts w:hint="eastAsia" w:ascii="宋体" w:hAnsi="宋体"/>
                <w:sz w:val="24"/>
                <w:lang w:val="en-US" w:eastAsia="zh-CN"/>
              </w:rPr>
              <w:t>18</w:t>
            </w:r>
            <w:r>
              <w:rPr>
                <w:rFonts w:hint="eastAsia" w:ascii="宋体" w:hAnsi="宋体"/>
                <w:sz w:val="24"/>
              </w:rPr>
              <w:t>000</w:t>
            </w:r>
            <w:r>
              <w:rPr>
                <w:rFonts w:ascii="宋体" w:hAnsi="宋体"/>
                <w:sz w:val="24"/>
              </w:rPr>
              <w:t>0.00</w:t>
            </w:r>
          </w:p>
        </w:tc>
        <w:tc>
          <w:tcPr>
            <w:tcW w:w="1620" w:type="dxa"/>
            <w:vAlign w:val="center"/>
          </w:tcPr>
          <w:p>
            <w:pPr>
              <w:spacing w:line="360" w:lineRule="auto"/>
              <w:rPr>
                <w:rFonts w:hint="eastAsia" w:ascii="宋体" w:hAnsi="宋体" w:cs="Arial"/>
                <w:sz w:val="24"/>
              </w:rPr>
            </w:pPr>
            <w:r>
              <w:rPr>
                <w:rFonts w:hint="eastAsia" w:ascii="宋体" w:hAnsi="宋体" w:cs="Arial"/>
                <w:sz w:val="24"/>
              </w:rPr>
              <w:t>￥0</w:t>
            </w:r>
            <w:r>
              <w:rPr>
                <w:rFonts w:ascii="宋体" w:hAnsi="宋体" w:cs="Arial"/>
                <w:sz w:val="24"/>
              </w:rPr>
              <w:t>.00</w:t>
            </w:r>
          </w:p>
        </w:tc>
      </w:tr>
    </w:tbl>
    <w:p>
      <w:pPr>
        <w:spacing w:line="360" w:lineRule="auto"/>
        <w:ind w:firstLine="424" w:firstLineChars="176"/>
        <w:rPr>
          <w:rFonts w:hint="eastAsia" w:ascii="宋体" w:hAnsi="宋体" w:cs="Arial"/>
          <w:sz w:val="24"/>
        </w:rPr>
      </w:pPr>
      <w:r>
        <w:rPr>
          <w:rFonts w:hint="eastAsia" w:ascii="宋体" w:hAnsi="宋体" w:cs="Arial"/>
          <w:b/>
          <w:sz w:val="24"/>
        </w:rPr>
        <w:t>三、</w:t>
      </w:r>
      <w:r>
        <w:rPr>
          <w:rFonts w:hint="eastAsia" w:ascii="宋体" w:hAnsi="宋体" w:cs="Arial"/>
          <w:b/>
          <w:bCs/>
          <w:sz w:val="24"/>
          <w:lang w:eastAsia="zh-CN"/>
        </w:rPr>
        <w:t>投标单位</w:t>
      </w:r>
      <w:r>
        <w:rPr>
          <w:rFonts w:hint="eastAsia" w:ascii="宋体" w:hAnsi="宋体" w:cs="Arial"/>
          <w:b/>
          <w:bCs/>
          <w:sz w:val="24"/>
        </w:rPr>
        <w:t>的资格条件</w:t>
      </w:r>
    </w:p>
    <w:p>
      <w:pPr>
        <w:autoSpaceDE w:val="0"/>
        <w:autoSpaceDN w:val="0"/>
        <w:adjustRightInd w:val="0"/>
        <w:spacing w:line="360" w:lineRule="auto"/>
        <w:ind w:firstLine="480" w:firstLineChars="200"/>
        <w:jc w:val="left"/>
        <w:rPr>
          <w:rFonts w:hint="eastAsia" w:ascii="宋体" w:hAnsi="宋体" w:cs="宋体"/>
          <w:kern w:val="0"/>
          <w:sz w:val="24"/>
        </w:rPr>
      </w:pPr>
      <w:r>
        <w:rPr>
          <w:rFonts w:hint="eastAsia" w:ascii="宋体" w:hAnsi="宋体" w:cs="宋体"/>
          <w:kern w:val="0"/>
          <w:sz w:val="24"/>
        </w:rPr>
        <w:t>1.</w:t>
      </w:r>
      <w:r>
        <w:rPr>
          <w:rFonts w:hint="eastAsia" w:ascii="宋体" w:hAnsi="宋体" w:cs="Arial"/>
          <w:sz w:val="24"/>
        </w:rPr>
        <w:t>符合《中华人民共和国政府采购法》第二十二条之</w:t>
      </w:r>
      <w:r>
        <w:rPr>
          <w:rFonts w:hint="eastAsia" w:ascii="宋体" w:hAnsi="宋体" w:cs="Arial"/>
          <w:sz w:val="24"/>
          <w:lang w:eastAsia="zh-CN"/>
        </w:rPr>
        <w:t>供应商</w:t>
      </w:r>
      <w:r>
        <w:rPr>
          <w:rFonts w:hint="eastAsia" w:ascii="宋体" w:hAnsi="宋体" w:cs="Arial"/>
          <w:sz w:val="24"/>
        </w:rPr>
        <w:t>资格规定；</w:t>
      </w:r>
      <w:r>
        <w:rPr>
          <w:rFonts w:hint="eastAsia" w:ascii="宋体" w:hAnsi="宋体" w:cs="宋体"/>
          <w:kern w:val="0"/>
          <w:sz w:val="24"/>
        </w:rPr>
        <w:t xml:space="preserve"> </w:t>
      </w:r>
    </w:p>
    <w:p>
      <w:pPr>
        <w:spacing w:line="520" w:lineRule="exact"/>
        <w:ind w:firstLine="480" w:firstLineChars="200"/>
        <w:rPr>
          <w:rFonts w:hint="eastAsia" w:ascii="宋体" w:hAnsi="宋体" w:cs="Arial"/>
          <w:sz w:val="24"/>
        </w:rPr>
      </w:pPr>
      <w:r>
        <w:rPr>
          <w:rFonts w:hint="eastAsia" w:ascii="宋体" w:hAnsi="宋体" w:cs="宋体"/>
          <w:kern w:val="0"/>
          <w:sz w:val="24"/>
        </w:rPr>
        <w:t>2.未被“信用中国”（www.creditchina.gov.cn）、中国政府采购网（www.ccgp.gov.cn）列入失信被执行人、重大税收违法案件当事人名单、政府采购严重违法失信行为记录名单。</w:t>
      </w:r>
    </w:p>
    <w:p>
      <w:pPr>
        <w:spacing w:line="520" w:lineRule="exact"/>
        <w:ind w:firstLine="480" w:firstLineChars="200"/>
        <w:rPr>
          <w:rFonts w:hint="eastAsia" w:ascii="宋体" w:hAnsi="宋体" w:cs="宋体"/>
          <w:kern w:val="0"/>
          <w:sz w:val="24"/>
        </w:rPr>
      </w:pPr>
      <w:r>
        <w:rPr>
          <w:rFonts w:hint="eastAsia" w:ascii="宋体" w:hAnsi="宋体" w:cs="宋体"/>
          <w:kern w:val="0"/>
          <w:sz w:val="24"/>
        </w:rPr>
        <w:t>3.不接受联合体投标。</w:t>
      </w:r>
    </w:p>
    <w:p>
      <w:pPr>
        <w:spacing w:line="360" w:lineRule="auto"/>
        <w:ind w:firstLine="424" w:firstLineChars="176"/>
        <w:rPr>
          <w:rFonts w:hint="eastAsia" w:ascii="宋体" w:hAnsi="宋体" w:cs="Arial"/>
          <w:b/>
          <w:bCs/>
          <w:sz w:val="24"/>
        </w:rPr>
      </w:pPr>
      <w:r>
        <w:rPr>
          <w:rFonts w:hint="eastAsia" w:ascii="宋体" w:hAnsi="宋体" w:cs="Arial"/>
          <w:b/>
          <w:bCs/>
          <w:sz w:val="24"/>
        </w:rPr>
        <w:t>四、资格审查方式：</w:t>
      </w:r>
    </w:p>
    <w:p>
      <w:pPr>
        <w:spacing w:line="360" w:lineRule="auto"/>
        <w:ind w:firstLine="422" w:firstLineChars="176"/>
        <w:rPr>
          <w:rFonts w:hint="eastAsia" w:ascii="宋体" w:hAnsi="宋体" w:cs="Arial"/>
          <w:bCs/>
          <w:sz w:val="24"/>
        </w:rPr>
      </w:pPr>
      <w:r>
        <w:rPr>
          <w:rFonts w:hint="eastAsia" w:ascii="宋体" w:hAnsi="宋体" w:cs="Arial"/>
          <w:bCs/>
          <w:sz w:val="24"/>
        </w:rPr>
        <w:t>1.资格后审。</w:t>
      </w:r>
    </w:p>
    <w:p>
      <w:pPr>
        <w:spacing w:line="360" w:lineRule="auto"/>
        <w:ind w:firstLine="424" w:firstLineChars="176"/>
        <w:rPr>
          <w:rFonts w:hint="eastAsia" w:ascii="宋体" w:hAnsi="宋体" w:cs="Arial"/>
          <w:sz w:val="24"/>
        </w:rPr>
      </w:pPr>
      <w:r>
        <w:rPr>
          <w:rFonts w:hint="eastAsia" w:ascii="宋体" w:hAnsi="宋体" w:cs="Arial"/>
          <w:b/>
          <w:bCs/>
          <w:sz w:val="24"/>
        </w:rPr>
        <w:t>五、报名</w:t>
      </w:r>
      <w:r>
        <w:rPr>
          <w:rFonts w:hint="eastAsia" w:ascii="宋体" w:hAnsi="宋体" w:cs="Arial"/>
          <w:sz w:val="24"/>
        </w:rPr>
        <w:t>：</w:t>
      </w:r>
    </w:p>
    <w:p>
      <w:pPr>
        <w:spacing w:line="360" w:lineRule="auto"/>
        <w:ind w:firstLine="422" w:firstLineChars="176"/>
        <w:rPr>
          <w:rFonts w:hint="eastAsia" w:ascii="宋体" w:hAnsi="宋体" w:cs="Arial"/>
          <w:b/>
          <w:bCs/>
          <w:color w:val="auto"/>
          <w:sz w:val="24"/>
          <w:lang w:eastAsia="zh-CN"/>
        </w:rPr>
      </w:pPr>
      <w:r>
        <w:rPr>
          <w:rFonts w:ascii="宋体" w:hAnsi="宋体" w:cs="Arial"/>
          <w:bCs/>
          <w:color w:val="0000FF"/>
          <w:sz w:val="24"/>
        </w:rPr>
        <w:t>报名及磋商文件获取时间</w:t>
      </w:r>
      <w:r>
        <w:rPr>
          <w:rFonts w:ascii="宋体" w:hAnsi="宋体" w:cs="Arial"/>
          <w:bCs/>
          <w:sz w:val="24"/>
        </w:rPr>
        <w:t>：至20</w:t>
      </w:r>
      <w:r>
        <w:rPr>
          <w:rFonts w:hint="eastAsia" w:ascii="宋体" w:hAnsi="宋体" w:cs="Arial"/>
          <w:bCs/>
          <w:sz w:val="24"/>
        </w:rPr>
        <w:t>2</w:t>
      </w:r>
      <w:r>
        <w:rPr>
          <w:rFonts w:hint="eastAsia" w:ascii="宋体" w:hAnsi="宋体" w:cs="Arial"/>
          <w:bCs/>
          <w:sz w:val="24"/>
          <w:lang w:val="en-US" w:eastAsia="zh-CN"/>
        </w:rPr>
        <w:t>1</w:t>
      </w:r>
      <w:r>
        <w:rPr>
          <w:rFonts w:ascii="宋体" w:hAnsi="宋体" w:cs="Arial"/>
          <w:bCs/>
          <w:sz w:val="24"/>
        </w:rPr>
        <w:t>年</w:t>
      </w:r>
      <w:r>
        <w:rPr>
          <w:rFonts w:hint="eastAsia" w:ascii="宋体" w:hAnsi="宋体" w:cs="Arial"/>
          <w:bCs/>
          <w:sz w:val="24"/>
          <w:lang w:val="en-US" w:eastAsia="zh-CN"/>
        </w:rPr>
        <w:t xml:space="preserve">  </w:t>
      </w:r>
      <w:r>
        <w:rPr>
          <w:rFonts w:ascii="宋体" w:hAnsi="宋体" w:cs="Arial"/>
          <w:bCs/>
          <w:sz w:val="24"/>
        </w:rPr>
        <w:t>月</w:t>
      </w:r>
      <w:r>
        <w:rPr>
          <w:rFonts w:hint="eastAsia" w:ascii="宋体" w:hAnsi="宋体" w:cs="Arial"/>
          <w:bCs/>
          <w:sz w:val="24"/>
          <w:lang w:val="en-US" w:eastAsia="zh-CN"/>
        </w:rPr>
        <w:t xml:space="preserve">  </w:t>
      </w:r>
      <w:r>
        <w:rPr>
          <w:rFonts w:ascii="宋体" w:hAnsi="宋体" w:cs="Arial"/>
          <w:bCs/>
          <w:sz w:val="24"/>
        </w:rPr>
        <w:t>日</w:t>
      </w:r>
      <w:r>
        <w:rPr>
          <w:rFonts w:hint="eastAsia" w:ascii="宋体" w:hAnsi="宋体" w:cs="Arial"/>
          <w:bCs/>
          <w:sz w:val="24"/>
          <w:lang w:eastAsia="zh-CN"/>
        </w:rPr>
        <w:t>之前</w:t>
      </w:r>
      <w:r>
        <w:rPr>
          <w:rFonts w:ascii="宋体" w:hAnsi="宋体" w:cs="Arial"/>
          <w:bCs/>
          <w:sz w:val="24"/>
        </w:rPr>
        <w:t>上午8:30—11:30</w:t>
      </w:r>
      <w:r>
        <w:rPr>
          <w:rFonts w:hint="eastAsia" w:ascii="宋体" w:hAnsi="宋体" w:cs="Arial"/>
          <w:bCs/>
          <w:sz w:val="24"/>
        </w:rPr>
        <w:t>；</w:t>
      </w:r>
      <w:r>
        <w:rPr>
          <w:rFonts w:ascii="宋体" w:hAnsi="宋体" w:cs="Arial"/>
          <w:bCs/>
          <w:sz w:val="24"/>
        </w:rPr>
        <w:t>下午14:</w:t>
      </w:r>
      <w:r>
        <w:rPr>
          <w:rFonts w:hint="eastAsia" w:ascii="宋体" w:hAnsi="宋体" w:cs="Arial"/>
          <w:bCs/>
          <w:sz w:val="24"/>
        </w:rPr>
        <w:t>3</w:t>
      </w:r>
      <w:r>
        <w:rPr>
          <w:rFonts w:ascii="宋体" w:hAnsi="宋体" w:cs="Arial"/>
          <w:bCs/>
          <w:sz w:val="24"/>
        </w:rPr>
        <w:t>0—1</w:t>
      </w:r>
      <w:r>
        <w:rPr>
          <w:rFonts w:hint="eastAsia" w:ascii="宋体" w:hAnsi="宋体" w:cs="Arial"/>
          <w:bCs/>
          <w:sz w:val="24"/>
        </w:rPr>
        <w:t>7</w:t>
      </w:r>
      <w:r>
        <w:rPr>
          <w:rFonts w:ascii="宋体" w:hAnsi="宋体" w:cs="Arial"/>
          <w:bCs/>
          <w:sz w:val="24"/>
        </w:rPr>
        <w:t>:</w:t>
      </w:r>
      <w:r>
        <w:rPr>
          <w:rFonts w:hint="eastAsia" w:ascii="宋体" w:hAnsi="宋体" w:cs="Arial"/>
          <w:bCs/>
          <w:sz w:val="24"/>
        </w:rPr>
        <w:t>3</w:t>
      </w:r>
      <w:r>
        <w:rPr>
          <w:rFonts w:ascii="宋体" w:hAnsi="宋体" w:cs="Arial"/>
          <w:bCs/>
          <w:sz w:val="24"/>
        </w:rPr>
        <w:t>0 (双休日及法定节假日除外）</w:t>
      </w: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w:t>
      </w:r>
      <w:r>
        <w:rPr>
          <w:rFonts w:hint="eastAsia" w:ascii="宋体" w:hAnsi="宋体" w:cs="Arial"/>
          <w:color w:val="auto"/>
          <w:sz w:val="24"/>
          <w:lang w:eastAsia="zh-CN"/>
        </w:rPr>
        <w:t>绍兴市朝皇路58号正大综合楼601</w:t>
      </w:r>
      <w:r>
        <w:rPr>
          <w:rFonts w:hint="eastAsia" w:ascii="宋体" w:hAnsi="宋体" w:cs="Arial"/>
          <w:color w:val="auto"/>
          <w:sz w:val="24"/>
        </w:rPr>
        <w:t>）</w:t>
      </w:r>
      <w:r>
        <w:rPr>
          <w:rFonts w:hint="eastAsia" w:ascii="宋体" w:hAnsi="宋体" w:cs="Arial"/>
          <w:bCs/>
          <w:color w:val="auto"/>
          <w:sz w:val="24"/>
        </w:rPr>
        <w:t>报名</w:t>
      </w:r>
      <w:r>
        <w:rPr>
          <w:rFonts w:ascii="宋体" w:hAnsi="宋体" w:cs="Arial"/>
          <w:bCs/>
          <w:color w:val="auto"/>
          <w:sz w:val="24"/>
        </w:rPr>
        <w:t>。(不接受电话报名)。</w:t>
      </w:r>
    </w:p>
    <w:p>
      <w:pPr>
        <w:numPr>
          <w:ilvl w:val="0"/>
          <w:numId w:val="0"/>
        </w:numPr>
        <w:snapToGrid w:val="0"/>
        <w:spacing w:line="440" w:lineRule="exact"/>
        <w:ind w:firstLine="482" w:firstLineChars="200"/>
        <w:jc w:val="left"/>
        <w:rPr>
          <w:rFonts w:hint="eastAsia"/>
          <w:color w:val="auto"/>
        </w:rPr>
      </w:pPr>
      <w:r>
        <w:rPr>
          <w:rFonts w:hint="eastAsia" w:ascii="宋体" w:hAnsi="宋体" w:cs="Arial"/>
          <w:b/>
          <w:bCs/>
          <w:sz w:val="24"/>
          <w:lang w:eastAsia="zh-CN"/>
        </w:rPr>
        <w:t>六、</w:t>
      </w:r>
      <w:r>
        <w:rPr>
          <w:rFonts w:hint="eastAsia" w:ascii="宋体" w:hAnsi="宋体" w:cs="Arial"/>
          <w:b/>
          <w:bCs/>
          <w:sz w:val="24"/>
        </w:rPr>
        <w:t>磋商截止时间及地点</w:t>
      </w:r>
      <w:r>
        <w:rPr>
          <w:rFonts w:hint="eastAsia" w:ascii="宋体" w:hAnsi="宋体" w:cs="Arial"/>
          <w:sz w:val="24"/>
        </w:rPr>
        <w:t>：</w:t>
      </w:r>
      <w:r>
        <w:rPr>
          <w:rFonts w:hint="eastAsia" w:ascii="宋体" w:hAnsi="宋体"/>
          <w:color w:val="0000FF"/>
          <w:sz w:val="24"/>
          <w:lang w:eastAsia="zh-CN"/>
        </w:rPr>
        <w:t>投标单位</w:t>
      </w:r>
      <w:r>
        <w:rPr>
          <w:rFonts w:hint="eastAsia" w:ascii="宋体" w:hAnsi="宋体"/>
          <w:color w:val="0000FF"/>
          <w:sz w:val="24"/>
        </w:rPr>
        <w:t>应于202</w:t>
      </w:r>
      <w:r>
        <w:rPr>
          <w:rFonts w:hint="eastAsia" w:ascii="宋体" w:hAnsi="宋体"/>
          <w:color w:val="0000FF"/>
          <w:sz w:val="24"/>
          <w:lang w:val="en-US" w:eastAsia="zh-CN"/>
        </w:rPr>
        <w:t>1</w:t>
      </w:r>
      <w:r>
        <w:rPr>
          <w:rFonts w:hint="eastAsia" w:ascii="宋体" w:hAnsi="宋体"/>
          <w:color w:val="0000FF"/>
          <w:sz w:val="24"/>
        </w:rPr>
        <w:t>年</w:t>
      </w:r>
      <w:r>
        <w:rPr>
          <w:rFonts w:hint="eastAsia" w:ascii="宋体" w:hAnsi="宋体"/>
          <w:color w:val="0000FF"/>
          <w:sz w:val="24"/>
          <w:lang w:val="en-US" w:eastAsia="zh-CN"/>
        </w:rPr>
        <w:t xml:space="preserve">  </w:t>
      </w:r>
      <w:r>
        <w:rPr>
          <w:rFonts w:hint="eastAsia" w:ascii="宋体" w:hAnsi="宋体"/>
          <w:color w:val="0000FF"/>
          <w:sz w:val="24"/>
        </w:rPr>
        <w:t>月</w:t>
      </w:r>
      <w:r>
        <w:rPr>
          <w:rFonts w:hint="eastAsia" w:ascii="宋体" w:hAnsi="宋体"/>
          <w:color w:val="0000FF"/>
          <w:sz w:val="24"/>
          <w:lang w:val="en-US" w:eastAsia="zh-CN"/>
        </w:rPr>
        <w:t xml:space="preserve">  </w:t>
      </w:r>
      <w:r>
        <w:rPr>
          <w:rFonts w:hint="eastAsia" w:ascii="宋体" w:hAnsi="宋体"/>
          <w:color w:val="0000FF"/>
          <w:sz w:val="24"/>
        </w:rPr>
        <w:t>日</w:t>
      </w:r>
      <w:r>
        <w:rPr>
          <w:rFonts w:hint="eastAsia" w:ascii="宋体" w:hAnsi="宋体"/>
          <w:color w:val="0000FF"/>
          <w:sz w:val="24"/>
          <w:lang w:val="en-US" w:eastAsia="zh-CN"/>
        </w:rPr>
        <w:t>00</w:t>
      </w:r>
      <w:r>
        <w:rPr>
          <w:rFonts w:hint="eastAsia" w:ascii="宋体" w:hAnsi="宋体"/>
          <w:color w:val="0000FF"/>
          <w:sz w:val="24"/>
        </w:rPr>
        <w:t>:00时</w:t>
      </w:r>
      <w:r>
        <w:rPr>
          <w:rFonts w:hint="eastAsia" w:ascii="宋体" w:hAnsi="宋体"/>
          <w:sz w:val="24"/>
        </w:rPr>
        <w:t>以前将磋商响应文件密封送交到</w:t>
      </w: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w:t>
      </w:r>
      <w:r>
        <w:rPr>
          <w:rFonts w:hint="eastAsia" w:ascii="宋体" w:hAnsi="宋体" w:cs="Arial"/>
          <w:color w:val="auto"/>
          <w:sz w:val="24"/>
          <w:lang w:eastAsia="zh-CN"/>
        </w:rPr>
        <w:t>绍兴市朝皇路58号正大综合楼601</w:t>
      </w:r>
      <w:r>
        <w:rPr>
          <w:rFonts w:hint="eastAsia" w:ascii="宋体" w:hAnsi="宋体" w:cs="Arial"/>
          <w:color w:val="auto"/>
          <w:sz w:val="24"/>
        </w:rPr>
        <w:t>），</w:t>
      </w:r>
      <w:r>
        <w:rPr>
          <w:rFonts w:hint="eastAsia" w:ascii="宋体" w:hAnsi="宋体"/>
          <w:color w:val="auto"/>
          <w:sz w:val="24"/>
        </w:rPr>
        <w:t>逾期送达作无效投标处理。</w:t>
      </w:r>
    </w:p>
    <w:p>
      <w:pPr>
        <w:spacing w:line="440" w:lineRule="exact"/>
        <w:ind w:firstLine="482" w:firstLineChars="200"/>
        <w:rPr>
          <w:rFonts w:hint="eastAsia" w:ascii="宋体" w:hAnsi="宋体" w:cs="Arial"/>
          <w:color w:val="auto"/>
          <w:sz w:val="24"/>
        </w:rPr>
      </w:pPr>
      <w:r>
        <w:rPr>
          <w:rFonts w:hint="eastAsia" w:ascii="宋体" w:hAnsi="宋体" w:cs="Arial"/>
          <w:b/>
          <w:bCs/>
          <w:sz w:val="24"/>
        </w:rPr>
        <w:t>七、磋商时间及地点</w:t>
      </w:r>
      <w:r>
        <w:rPr>
          <w:rFonts w:hint="eastAsia" w:ascii="宋体" w:hAnsi="宋体" w:cs="Arial"/>
          <w:sz w:val="24"/>
        </w:rPr>
        <w:t>：</w:t>
      </w:r>
      <w:r>
        <w:rPr>
          <w:rFonts w:hint="eastAsia" w:ascii="宋体" w:hAnsi="宋体" w:cs="Arial"/>
          <w:color w:val="0000FF"/>
          <w:sz w:val="24"/>
        </w:rPr>
        <w:t>202</w:t>
      </w:r>
      <w:r>
        <w:rPr>
          <w:rFonts w:hint="eastAsia" w:ascii="宋体" w:hAnsi="宋体" w:cs="Arial"/>
          <w:color w:val="0000FF"/>
          <w:sz w:val="24"/>
          <w:lang w:val="en-US" w:eastAsia="zh-CN"/>
        </w:rPr>
        <w:t>1</w:t>
      </w:r>
      <w:r>
        <w:rPr>
          <w:rFonts w:hint="eastAsia" w:ascii="宋体" w:hAnsi="宋体" w:cs="Arial"/>
          <w:color w:val="0000FF"/>
          <w:sz w:val="24"/>
        </w:rPr>
        <w:t>年</w:t>
      </w:r>
      <w:r>
        <w:rPr>
          <w:rFonts w:hint="eastAsia" w:ascii="宋体" w:hAnsi="宋体" w:cs="Arial"/>
          <w:color w:val="0000FF"/>
          <w:sz w:val="24"/>
          <w:lang w:val="en-US" w:eastAsia="zh-CN"/>
        </w:rPr>
        <w:t xml:space="preserve">  </w:t>
      </w:r>
      <w:r>
        <w:rPr>
          <w:rFonts w:hint="eastAsia" w:ascii="宋体" w:hAnsi="宋体" w:cs="Arial"/>
          <w:color w:val="0000FF"/>
          <w:sz w:val="24"/>
        </w:rPr>
        <w:t>月</w:t>
      </w:r>
      <w:r>
        <w:rPr>
          <w:rFonts w:hint="eastAsia" w:ascii="宋体" w:hAnsi="宋体" w:cs="Arial"/>
          <w:color w:val="0000FF"/>
          <w:sz w:val="24"/>
          <w:lang w:val="en-US" w:eastAsia="zh-CN"/>
        </w:rPr>
        <w:t xml:space="preserve">  </w:t>
      </w:r>
      <w:r>
        <w:rPr>
          <w:rFonts w:hint="eastAsia" w:ascii="宋体" w:hAnsi="宋体" w:cs="Arial"/>
          <w:color w:val="0000FF"/>
          <w:sz w:val="24"/>
        </w:rPr>
        <w:t>日</w:t>
      </w:r>
      <w:r>
        <w:rPr>
          <w:rFonts w:hint="eastAsia" w:ascii="宋体" w:hAnsi="宋体" w:cs="Arial"/>
          <w:color w:val="0000FF"/>
          <w:sz w:val="24"/>
          <w:lang w:val="en-US" w:eastAsia="zh-CN"/>
        </w:rPr>
        <w:t>00</w:t>
      </w:r>
      <w:r>
        <w:rPr>
          <w:rFonts w:hint="eastAsia" w:ascii="宋体" w:hAnsi="宋体" w:cs="Arial"/>
          <w:color w:val="0000FF"/>
          <w:sz w:val="24"/>
        </w:rPr>
        <w:t>:00时</w:t>
      </w:r>
      <w:r>
        <w:rPr>
          <w:rFonts w:hint="eastAsia" w:ascii="宋体" w:hAnsi="宋体" w:cs="Arial"/>
          <w:color w:val="auto"/>
          <w:sz w:val="24"/>
        </w:rPr>
        <w:t>在</w:t>
      </w: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w:t>
      </w:r>
      <w:r>
        <w:rPr>
          <w:rFonts w:hint="eastAsia" w:ascii="宋体" w:hAnsi="宋体" w:cs="Arial"/>
          <w:color w:val="auto"/>
          <w:sz w:val="24"/>
          <w:lang w:eastAsia="zh-CN"/>
        </w:rPr>
        <w:t>绍兴市朝皇路58号正大综合楼601（泰宇咨询）会议室</w:t>
      </w:r>
      <w:r>
        <w:rPr>
          <w:rFonts w:hint="eastAsia" w:ascii="宋体" w:hAnsi="宋体" w:cs="Arial"/>
          <w:color w:val="auto"/>
          <w:sz w:val="24"/>
        </w:rPr>
        <w:t>）磋商，法定代表人或其授权代表必须出席磋商。</w:t>
      </w:r>
    </w:p>
    <w:p>
      <w:pPr>
        <w:spacing w:line="440" w:lineRule="exact"/>
        <w:ind w:firstLine="482" w:firstLineChars="200"/>
        <w:rPr>
          <w:rFonts w:hint="eastAsia" w:ascii="宋体" w:hAnsi="宋体"/>
          <w:color w:val="FF0000"/>
          <w:sz w:val="24"/>
          <w:u w:val="single"/>
        </w:rPr>
      </w:pPr>
      <w:r>
        <w:rPr>
          <w:rFonts w:hint="eastAsia" w:ascii="宋体" w:hAnsi="宋体"/>
          <w:b/>
          <w:sz w:val="24"/>
        </w:rPr>
        <w:t>八、</w:t>
      </w:r>
      <w:r>
        <w:rPr>
          <w:rFonts w:hint="eastAsia" w:ascii="宋体" w:hAnsi="宋体" w:cs="Arial"/>
          <w:b/>
          <w:sz w:val="24"/>
        </w:rPr>
        <w:t>竞争性磋商公告发布：</w:t>
      </w:r>
      <w:r>
        <w:rPr>
          <w:rFonts w:hint="eastAsia" w:ascii="宋体" w:hAnsi="宋体"/>
          <w:color w:val="FF0000"/>
          <w:sz w:val="24"/>
          <w:u w:val="single"/>
        </w:rPr>
        <w:t>http://fgw.sx.gov.cn/</w:t>
      </w:r>
    </w:p>
    <w:p>
      <w:pPr>
        <w:spacing w:line="360" w:lineRule="auto"/>
        <w:ind w:firstLine="472" w:firstLineChars="196"/>
        <w:rPr>
          <w:rFonts w:ascii="宋体" w:hAnsi="宋体"/>
          <w:b/>
          <w:sz w:val="24"/>
        </w:rPr>
      </w:pPr>
      <w:r>
        <w:rPr>
          <w:rFonts w:hint="eastAsia" w:ascii="宋体" w:hAnsi="宋体"/>
          <w:b/>
          <w:sz w:val="24"/>
        </w:rPr>
        <w:t>九、质疑和投诉：</w:t>
      </w:r>
    </w:p>
    <w:p>
      <w:pPr>
        <w:spacing w:line="360" w:lineRule="auto"/>
        <w:ind w:firstLine="480" w:firstLineChars="200"/>
        <w:jc w:val="both"/>
        <w:rPr>
          <w:rFonts w:hint="eastAsia" w:ascii="宋体" w:hAnsi="宋体"/>
          <w:sz w:val="24"/>
        </w:rPr>
      </w:pPr>
      <w:r>
        <w:rPr>
          <w:rFonts w:hint="eastAsia" w:ascii="宋体" w:hAnsi="宋体" w:cs="Arial"/>
          <w:sz w:val="24"/>
          <w:lang w:eastAsia="zh-CN"/>
        </w:rPr>
        <w:t>投标单位</w:t>
      </w:r>
      <w:r>
        <w:rPr>
          <w:rFonts w:hint="eastAsia" w:ascii="宋体" w:hAnsi="宋体" w:cs="Arial"/>
          <w:sz w:val="24"/>
        </w:rPr>
        <w:t>认为磋商文件、采购过程和中标、成交结果使自己的权益受到损害的，可以在知道或者应知其权益受到损害之日起七个工作日内，以书面形式向采购机构提出质疑。</w:t>
      </w:r>
      <w:r>
        <w:rPr>
          <w:rFonts w:hint="eastAsia" w:ascii="宋体" w:hAnsi="宋体" w:cs="Arial"/>
          <w:sz w:val="24"/>
          <w:lang w:eastAsia="zh-CN"/>
        </w:rPr>
        <w:t>投标单位</w:t>
      </w:r>
      <w:r>
        <w:rPr>
          <w:rFonts w:hint="eastAsia" w:ascii="宋体" w:hAnsi="宋体" w:cs="Arial"/>
          <w:sz w:val="24"/>
        </w:rPr>
        <w:t>对采购机构的质疑答复不满意或者采购机构未在规定时间内作出答复的，可以在答复期满后十五个工作日内向绍兴市财政局投诉，监督电话0575-8515760。</w:t>
      </w:r>
    </w:p>
    <w:p>
      <w:pPr>
        <w:spacing w:line="360" w:lineRule="auto"/>
        <w:ind w:firstLine="472" w:firstLineChars="196"/>
        <w:rPr>
          <w:rFonts w:hint="eastAsia" w:ascii="宋体" w:hAnsi="宋体"/>
          <w:sz w:val="24"/>
        </w:rPr>
      </w:pPr>
      <w:r>
        <w:rPr>
          <w:rFonts w:hint="eastAsia" w:ascii="宋体" w:hAnsi="宋体"/>
          <w:b/>
          <w:sz w:val="24"/>
        </w:rPr>
        <w:t>十、联系方式：</w:t>
      </w:r>
    </w:p>
    <w:p>
      <w:pPr>
        <w:spacing w:line="360" w:lineRule="auto"/>
        <w:ind w:firstLine="540" w:firstLineChars="225"/>
        <w:rPr>
          <w:rFonts w:hint="default" w:ascii="宋体" w:hAnsi="宋体" w:cs="Arial"/>
          <w:color w:val="auto"/>
          <w:sz w:val="24"/>
          <w:lang w:val="en-US"/>
        </w:rPr>
      </w:pP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 xml:space="preserve">       </w:t>
      </w:r>
      <w:r>
        <w:rPr>
          <w:rFonts w:hint="eastAsia" w:ascii="宋体" w:hAnsi="宋体" w:cs="Arial"/>
          <w:color w:val="auto"/>
          <w:sz w:val="24"/>
          <w:lang w:eastAsia="zh-CN"/>
        </w:rPr>
        <w:t>冯工</w:t>
      </w:r>
      <w:r>
        <w:rPr>
          <w:rFonts w:hint="eastAsia" w:ascii="宋体" w:hAnsi="宋体" w:cs="Arial"/>
          <w:color w:val="auto"/>
          <w:sz w:val="24"/>
        </w:rPr>
        <w:t xml:space="preserve"> </w:t>
      </w:r>
      <w:r>
        <w:rPr>
          <w:rFonts w:hint="eastAsia" w:ascii="宋体" w:hAnsi="宋体" w:cs="Arial"/>
          <w:color w:val="auto"/>
          <w:sz w:val="24"/>
          <w:lang w:val="en-US" w:eastAsia="zh-CN"/>
        </w:rPr>
        <w:t xml:space="preserve">     13867510752</w:t>
      </w:r>
    </w:p>
    <w:p>
      <w:pPr>
        <w:spacing w:line="360" w:lineRule="auto"/>
        <w:ind w:firstLine="422" w:firstLineChars="176"/>
        <w:jc w:val="left"/>
        <w:rPr>
          <w:rFonts w:hint="eastAsia" w:ascii="宋体" w:hAnsi="宋体" w:eastAsia="宋体"/>
          <w:color w:val="auto"/>
          <w:sz w:val="24"/>
          <w:lang w:eastAsia="zh-CN"/>
        </w:rPr>
      </w:pPr>
      <w:r>
        <w:rPr>
          <w:rFonts w:hint="eastAsia" w:ascii="宋体" w:hAnsi="宋体" w:cs="Arial"/>
          <w:color w:val="auto"/>
          <w:sz w:val="24"/>
        </w:rPr>
        <w:t xml:space="preserve"> </w:t>
      </w:r>
      <w:r>
        <w:rPr>
          <w:rFonts w:hint="eastAsia" w:ascii="宋体" w:hAnsi="宋体" w:cs="Arial"/>
          <w:color w:val="auto"/>
          <w:sz w:val="24"/>
          <w:lang w:eastAsia="zh-CN"/>
        </w:rPr>
        <w:t>绍兴市发展和改革委员会</w:t>
      </w:r>
      <w:r>
        <w:rPr>
          <w:rFonts w:hint="eastAsia" w:ascii="宋体" w:hAnsi="宋体" w:cs="Arial"/>
          <w:color w:val="auto"/>
          <w:sz w:val="24"/>
        </w:rPr>
        <w:t xml:space="preserve">            </w:t>
      </w:r>
      <w:r>
        <w:rPr>
          <w:rFonts w:hint="eastAsia" w:ascii="宋体" w:hAnsi="宋体" w:cs="Arial"/>
          <w:color w:val="auto"/>
          <w:sz w:val="24"/>
          <w:lang w:val="en-US" w:eastAsia="zh-CN"/>
        </w:rPr>
        <w:t xml:space="preserve">           魏鹏鹏</w:t>
      </w:r>
      <w:r>
        <w:rPr>
          <w:rFonts w:hint="eastAsia" w:ascii="宋体" w:hAnsi="宋体" w:cs="Arial"/>
          <w:color w:val="auto"/>
          <w:sz w:val="24"/>
        </w:rPr>
        <w:t xml:space="preserve">    </w:t>
      </w:r>
      <w:r>
        <w:rPr>
          <w:rFonts w:hint="eastAsia" w:ascii="宋体" w:hAnsi="宋体"/>
          <w:color w:val="auto"/>
          <w:sz w:val="24"/>
        </w:rPr>
        <w:t>0575-</w:t>
      </w:r>
      <w:r>
        <w:rPr>
          <w:rFonts w:hint="eastAsia" w:ascii="宋体" w:hAnsi="宋体"/>
          <w:color w:val="auto"/>
          <w:sz w:val="24"/>
          <w:lang w:eastAsia="zh-CN"/>
        </w:rPr>
        <w:t>85131242</w:t>
      </w:r>
    </w:p>
    <w:p>
      <w:pPr>
        <w:spacing w:line="360" w:lineRule="auto"/>
        <w:ind w:firstLine="470" w:firstLineChars="196"/>
        <w:rPr>
          <w:rFonts w:hint="eastAsia" w:ascii="宋体" w:hAnsi="宋体" w:cs="Arial"/>
          <w:sz w:val="24"/>
        </w:rPr>
      </w:pPr>
    </w:p>
    <w:p>
      <w:pPr>
        <w:pStyle w:val="2"/>
        <w:numPr>
          <w:ilvl w:val="0"/>
          <w:numId w:val="0"/>
        </w:numPr>
        <w:ind w:leftChars="0"/>
        <w:rPr>
          <w:rFonts w:hint="eastAsia"/>
        </w:rPr>
      </w:pPr>
    </w:p>
    <w:p>
      <w:pPr>
        <w:rPr>
          <w:rFonts w:hint="eastAsia"/>
        </w:rPr>
      </w:pPr>
    </w:p>
    <w:p>
      <w:pPr>
        <w:spacing w:line="360" w:lineRule="auto"/>
        <w:ind w:firstLine="413" w:firstLineChars="196"/>
        <w:rPr>
          <w:rFonts w:ascii="宋体" w:hAnsi="宋体" w:cs="Arial"/>
          <w:b/>
          <w:szCs w:val="21"/>
        </w:rPr>
      </w:pPr>
    </w:p>
    <w:p>
      <w:pPr>
        <w:spacing w:line="360" w:lineRule="auto"/>
        <w:ind w:left="238"/>
        <w:jc w:val="right"/>
        <w:rPr>
          <w:rFonts w:hint="eastAsia" w:ascii="宋体" w:hAnsi="宋体"/>
        </w:rPr>
      </w:pPr>
      <w:r>
        <w:rPr>
          <w:rFonts w:hint="eastAsia" w:ascii="宋体" w:hAnsi="宋体"/>
        </w:rPr>
        <w:t xml:space="preserve">                                    　　</w:t>
      </w:r>
    </w:p>
    <w:p>
      <w:pPr>
        <w:spacing w:line="360" w:lineRule="auto"/>
        <w:ind w:left="238"/>
        <w:jc w:val="right"/>
        <w:rPr>
          <w:rFonts w:hint="eastAsia" w:ascii="宋体" w:hAnsi="宋体" w:cs="Arial"/>
          <w:sz w:val="24"/>
        </w:rPr>
      </w:pPr>
      <w:r>
        <w:rPr>
          <w:rFonts w:hint="eastAsia" w:ascii="宋体" w:hAnsi="宋体"/>
        </w:rPr>
        <w:t>　</w:t>
      </w:r>
      <w:r>
        <w:rPr>
          <w:rFonts w:hint="eastAsia" w:ascii="宋体" w:hAnsi="宋体" w:cs="Arial"/>
          <w:sz w:val="24"/>
          <w:lang w:eastAsia="zh-CN"/>
        </w:rPr>
        <w:t>绍兴市发展和改革委员会</w:t>
      </w:r>
    </w:p>
    <w:p>
      <w:pPr>
        <w:spacing w:line="360" w:lineRule="auto"/>
        <w:ind w:left="238"/>
        <w:jc w:val="right"/>
        <w:rPr>
          <w:rFonts w:hint="eastAsia" w:ascii="宋体" w:hAnsi="宋体" w:eastAsia="宋体"/>
          <w:color w:val="auto"/>
          <w:sz w:val="24"/>
          <w:lang w:eastAsia="zh-CN"/>
        </w:rPr>
      </w:pPr>
      <w:r>
        <w:rPr>
          <w:rFonts w:hint="eastAsia" w:ascii="宋体" w:hAnsi="宋体"/>
          <w:color w:val="auto"/>
          <w:sz w:val="24"/>
          <w:lang w:eastAsia="zh-CN"/>
        </w:rPr>
        <w:t>泰宇建筑工程技术咨询有限公司绍兴分公司</w:t>
      </w:r>
    </w:p>
    <w:p>
      <w:pPr>
        <w:spacing w:line="360" w:lineRule="auto"/>
        <w:ind w:left="238"/>
        <w:jc w:val="right"/>
        <w:rPr>
          <w:rFonts w:hint="eastAsia" w:ascii="宋体" w:hAnsi="宋体"/>
          <w:sz w:val="24"/>
        </w:rPr>
      </w:pPr>
      <w:r>
        <w:rPr>
          <w:rFonts w:hint="eastAsia" w:ascii="宋体" w:hAnsi="宋体"/>
          <w:sz w:val="24"/>
        </w:rPr>
        <w:t xml:space="preserve"> </w:t>
      </w:r>
      <w:bookmarkEnd w:id="1"/>
      <w:r>
        <w:rPr>
          <w:rFonts w:hint="eastAsia" w:ascii="宋体" w:hAnsi="宋体"/>
          <w:sz w:val="24"/>
        </w:rPr>
        <w:t>202</w:t>
      </w:r>
      <w:r>
        <w:rPr>
          <w:rFonts w:hint="eastAsia" w:ascii="宋体" w:hAnsi="宋体"/>
          <w:sz w:val="24"/>
          <w:lang w:val="en-US" w:eastAsia="zh-CN"/>
        </w:rPr>
        <w:t>1</w:t>
      </w:r>
      <w:r>
        <w:rPr>
          <w:rFonts w:hint="eastAsia" w:ascii="宋体" w:hAnsi="宋体"/>
          <w:sz w:val="24"/>
        </w:rPr>
        <w:t>年</w:t>
      </w:r>
      <w:r>
        <w:rPr>
          <w:rFonts w:hint="eastAsia" w:ascii="宋体" w:hAnsi="宋体"/>
          <w:sz w:val="24"/>
          <w:lang w:val="en-US" w:eastAsia="zh-CN"/>
        </w:rPr>
        <w:t>7</w:t>
      </w:r>
      <w:r>
        <w:rPr>
          <w:rFonts w:hint="eastAsia" w:ascii="宋体" w:hAnsi="宋体"/>
          <w:sz w:val="24"/>
        </w:rPr>
        <w:t>月</w:t>
      </w:r>
    </w:p>
    <w:p>
      <w:pPr>
        <w:spacing w:line="360" w:lineRule="auto"/>
        <w:ind w:left="238"/>
        <w:jc w:val="right"/>
        <w:rPr>
          <w:rFonts w:hint="eastAsia" w:ascii="宋体" w:hAnsi="宋体"/>
          <w:sz w:val="24"/>
        </w:rPr>
      </w:pPr>
    </w:p>
    <w:p>
      <w:pPr>
        <w:spacing w:line="360" w:lineRule="auto"/>
        <w:ind w:left="238"/>
        <w:jc w:val="right"/>
        <w:rPr>
          <w:rFonts w:hint="eastAsia" w:ascii="宋体" w:hAnsi="宋体"/>
          <w:sz w:val="24"/>
        </w:rPr>
      </w:pPr>
    </w:p>
    <w:p>
      <w:pPr>
        <w:spacing w:line="360" w:lineRule="auto"/>
        <w:ind w:left="238"/>
        <w:jc w:val="right"/>
        <w:rPr>
          <w:rFonts w:hint="eastAsia" w:ascii="宋体" w:hAnsi="宋体"/>
          <w:sz w:val="24"/>
        </w:rPr>
      </w:pPr>
    </w:p>
    <w:p>
      <w:pPr>
        <w:spacing w:line="360" w:lineRule="auto"/>
        <w:rPr>
          <w:rFonts w:hint="eastAsia" w:ascii="宋体" w:hAnsi="宋体"/>
          <w:b/>
          <w:sz w:val="36"/>
          <w:szCs w:val="36"/>
        </w:rPr>
      </w:pPr>
    </w:p>
    <w:bookmarkEnd w:id="2"/>
    <w:p>
      <w:pPr>
        <w:spacing w:line="360" w:lineRule="auto"/>
        <w:rPr>
          <w:rFonts w:hint="eastAsia" w:ascii="宋体" w:hAnsi="宋体"/>
          <w:b/>
          <w:sz w:val="36"/>
          <w:szCs w:val="36"/>
        </w:rPr>
      </w:pPr>
    </w:p>
    <w:p>
      <w:pPr>
        <w:spacing w:line="360" w:lineRule="auto"/>
        <w:jc w:val="center"/>
        <w:rPr>
          <w:rFonts w:hint="eastAsia" w:ascii="宋体" w:hAnsi="宋体"/>
          <w:b/>
          <w:sz w:val="36"/>
          <w:szCs w:val="36"/>
        </w:rPr>
      </w:pPr>
      <w:r>
        <w:rPr>
          <w:rFonts w:hint="eastAsia" w:ascii="宋体" w:hAnsi="宋体"/>
          <w:b/>
          <w:sz w:val="36"/>
          <w:szCs w:val="36"/>
        </w:rPr>
        <w:t xml:space="preserve">    </w:t>
      </w:r>
    </w:p>
    <w:p>
      <w:pPr>
        <w:spacing w:line="360" w:lineRule="auto"/>
        <w:jc w:val="center"/>
        <w:rPr>
          <w:rFonts w:hint="eastAsia" w:ascii="宋体" w:hAnsi="宋体"/>
          <w:b/>
          <w:sz w:val="36"/>
          <w:szCs w:val="36"/>
        </w:rPr>
      </w:pPr>
      <w:r>
        <w:rPr>
          <w:rFonts w:hint="eastAsia" w:ascii="宋体" w:hAnsi="宋体"/>
          <w:b/>
          <w:sz w:val="36"/>
          <w:szCs w:val="36"/>
        </w:rPr>
        <w:br w:type="page"/>
      </w:r>
      <w:r>
        <w:rPr>
          <w:rFonts w:hint="eastAsia" w:ascii="宋体" w:hAnsi="宋体"/>
          <w:b/>
          <w:sz w:val="36"/>
          <w:szCs w:val="36"/>
        </w:rPr>
        <w:t>第二部分 磋商响应须知</w:t>
      </w:r>
    </w:p>
    <w:p>
      <w:pPr>
        <w:spacing w:line="360" w:lineRule="auto"/>
        <w:ind w:left="238"/>
        <w:jc w:val="center"/>
        <w:rPr>
          <w:rFonts w:hint="eastAsia" w:ascii="宋体" w:hAnsi="宋体"/>
          <w:b/>
          <w:sz w:val="30"/>
          <w:szCs w:val="36"/>
        </w:rPr>
      </w:pPr>
      <w:r>
        <w:rPr>
          <w:rFonts w:hint="eastAsia" w:ascii="宋体" w:hAnsi="宋体"/>
          <w:b/>
          <w:sz w:val="30"/>
          <w:szCs w:val="36"/>
        </w:rPr>
        <w:t>前附表</w:t>
      </w:r>
    </w:p>
    <w:tbl>
      <w:tblPr>
        <w:tblStyle w:val="40"/>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69" w:type="dxa"/>
            <w:vAlign w:val="center"/>
          </w:tcPr>
          <w:p>
            <w:pPr>
              <w:spacing w:before="156" w:beforeLines="50" w:after="93" w:afterLines="30" w:line="360" w:lineRule="auto"/>
              <w:jc w:val="center"/>
              <w:rPr>
                <w:rFonts w:hint="eastAsia" w:ascii="宋体" w:hAnsi="宋体"/>
                <w:sz w:val="24"/>
              </w:rPr>
            </w:pPr>
            <w:r>
              <w:rPr>
                <w:rFonts w:hint="eastAsia" w:ascii="宋体" w:hAnsi="宋体"/>
                <w:sz w:val="24"/>
              </w:rPr>
              <w:t>序号</w:t>
            </w:r>
          </w:p>
        </w:tc>
        <w:tc>
          <w:tcPr>
            <w:tcW w:w="8371" w:type="dxa"/>
            <w:vAlign w:val="center"/>
          </w:tcPr>
          <w:p>
            <w:pPr>
              <w:spacing w:before="156" w:beforeLines="50" w:after="93" w:afterLines="30" w:line="360" w:lineRule="auto"/>
              <w:jc w:val="center"/>
              <w:rPr>
                <w:rFonts w:hint="eastAsia" w:ascii="宋体" w:hAnsi="宋体"/>
                <w:sz w:val="24"/>
              </w:rPr>
            </w:pPr>
            <w:r>
              <w:rPr>
                <w:rFonts w:hint="eastAsia" w:ascii="宋体" w:hAnsi="宋体"/>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trPr>
        <w:tc>
          <w:tcPr>
            <w:tcW w:w="869" w:type="dxa"/>
            <w:vAlign w:val="center"/>
          </w:tcPr>
          <w:p>
            <w:pPr>
              <w:spacing w:line="360" w:lineRule="auto"/>
              <w:jc w:val="center"/>
              <w:rPr>
                <w:rFonts w:hint="eastAsia" w:ascii="宋体" w:hAnsi="宋体"/>
                <w:sz w:val="24"/>
              </w:rPr>
            </w:pPr>
            <w:r>
              <w:rPr>
                <w:rFonts w:hint="eastAsia" w:ascii="宋体" w:hAnsi="宋体"/>
                <w:sz w:val="24"/>
              </w:rPr>
              <w:t>1</w:t>
            </w:r>
          </w:p>
        </w:tc>
        <w:tc>
          <w:tcPr>
            <w:tcW w:w="8371" w:type="dxa"/>
            <w:vAlign w:val="center"/>
          </w:tcPr>
          <w:p>
            <w:pPr>
              <w:spacing w:line="360" w:lineRule="auto"/>
              <w:rPr>
                <w:rFonts w:hint="eastAsia" w:ascii="宋体" w:hAnsi="宋体"/>
                <w:sz w:val="24"/>
              </w:rPr>
            </w:pPr>
            <w:r>
              <w:rPr>
                <w:rFonts w:hint="eastAsia" w:ascii="宋体" w:hAnsi="宋体"/>
                <w:b/>
                <w:sz w:val="24"/>
              </w:rPr>
              <w:t>磋商项目名称：</w:t>
            </w:r>
            <w:bookmarkStart w:id="3" w:name="OLE_LINK5"/>
            <w:bookmarkStart w:id="4" w:name="OLE_LINK4"/>
            <w:r>
              <w:rPr>
                <w:rFonts w:hint="eastAsia" w:ascii="宋体" w:hAnsi="宋体"/>
                <w:sz w:val="24"/>
                <w:lang w:eastAsia="zh-CN"/>
              </w:rPr>
              <w:t>绍兴市发展和改革委员会下属单位财务外包服务项目</w:t>
            </w:r>
          </w:p>
          <w:bookmarkEnd w:id="3"/>
          <w:bookmarkEnd w:id="4"/>
          <w:p>
            <w:pPr>
              <w:spacing w:line="360" w:lineRule="auto"/>
              <w:jc w:val="left"/>
              <w:rPr>
                <w:rFonts w:hint="eastAsia" w:ascii="宋体" w:hAnsi="宋体"/>
                <w:sz w:val="24"/>
              </w:rPr>
            </w:pPr>
            <w:r>
              <w:rPr>
                <w:rFonts w:hint="eastAsia" w:ascii="宋体" w:hAnsi="宋体"/>
                <w:b/>
                <w:sz w:val="24"/>
              </w:rPr>
              <w:t>磋商项目的实施规模、范围：</w:t>
            </w:r>
            <w:r>
              <w:rPr>
                <w:rFonts w:hint="eastAsia" w:ascii="宋体" w:hAnsi="宋体"/>
                <w:b w:val="0"/>
                <w:bCs/>
                <w:sz w:val="24"/>
                <w:lang w:eastAsia="zh-CN"/>
              </w:rPr>
              <w:t>承担</w:t>
            </w:r>
            <w:r>
              <w:rPr>
                <w:rFonts w:hint="eastAsia" w:ascii="宋体" w:hAnsi="宋体"/>
                <w:sz w:val="24"/>
                <w:lang w:eastAsia="zh-CN"/>
              </w:rPr>
              <w:t>绍兴市发展和改革委员会下属单位成调局、监测认证中心、信用中心、铁建中心、能源监察中心、规划院</w:t>
            </w:r>
            <w:r>
              <w:rPr>
                <w:rFonts w:hint="eastAsia" w:ascii="宋体" w:hAnsi="宋体"/>
                <w:sz w:val="24"/>
                <w:lang w:val="en-US" w:eastAsia="zh-CN"/>
              </w:rPr>
              <w:t>6</w:t>
            </w:r>
            <w:r>
              <w:rPr>
                <w:rFonts w:hint="eastAsia" w:ascii="宋体" w:hAnsi="宋体"/>
                <w:sz w:val="24"/>
                <w:lang w:eastAsia="zh-CN"/>
              </w:rPr>
              <w:t>家单位的财务工作</w:t>
            </w:r>
            <w:r>
              <w:rPr>
                <w:rFonts w:hint="eastAsia" w:ascii="宋体" w:hAnsi="宋体" w:cs="宋体"/>
                <w:sz w:val="24"/>
              </w:rPr>
              <w:t>。</w:t>
            </w:r>
            <w:r>
              <w:rPr>
                <w:rFonts w:hint="eastAsia" w:ascii="宋体" w:hAnsi="宋体"/>
                <w:sz w:val="24"/>
              </w:rPr>
              <w:t>详见磋商文件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vAlign w:val="center"/>
          </w:tcPr>
          <w:p>
            <w:pPr>
              <w:spacing w:line="360" w:lineRule="auto"/>
              <w:jc w:val="center"/>
              <w:rPr>
                <w:rFonts w:hint="eastAsia" w:ascii="宋体" w:hAnsi="宋体"/>
                <w:sz w:val="24"/>
              </w:rPr>
            </w:pPr>
            <w:r>
              <w:rPr>
                <w:rFonts w:hint="eastAsia" w:ascii="宋体" w:hAnsi="宋体"/>
                <w:sz w:val="24"/>
              </w:rPr>
              <w:t>2</w:t>
            </w:r>
          </w:p>
        </w:tc>
        <w:tc>
          <w:tcPr>
            <w:tcW w:w="8371" w:type="dxa"/>
            <w:vAlign w:val="center"/>
          </w:tcPr>
          <w:p>
            <w:pPr>
              <w:autoSpaceDE w:val="0"/>
              <w:autoSpaceDN w:val="0"/>
              <w:spacing w:line="360" w:lineRule="auto"/>
              <w:textAlignment w:val="bottom"/>
              <w:rPr>
                <w:rFonts w:hint="eastAsia" w:ascii="宋体" w:hAnsi="宋体"/>
                <w:sz w:val="24"/>
              </w:rPr>
            </w:pPr>
            <w:r>
              <w:rPr>
                <w:rFonts w:hint="eastAsia" w:ascii="宋体" w:hAnsi="宋体"/>
                <w:b/>
                <w:sz w:val="24"/>
              </w:rPr>
              <w:t>磋商有效期：</w:t>
            </w:r>
            <w:r>
              <w:rPr>
                <w:rFonts w:hint="eastAsia" w:ascii="宋体" w:hAnsi="宋体"/>
                <w:sz w:val="24"/>
              </w:rPr>
              <w:t>自磋商截止日起45天。如采购人认为必要，可延长至总计最长不超过60天。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vAlign w:val="center"/>
          </w:tcPr>
          <w:p>
            <w:pPr>
              <w:spacing w:line="360" w:lineRule="auto"/>
              <w:jc w:val="center"/>
              <w:rPr>
                <w:rFonts w:hint="eastAsia" w:ascii="宋体" w:hAnsi="宋体"/>
                <w:sz w:val="24"/>
              </w:rPr>
            </w:pPr>
            <w:r>
              <w:rPr>
                <w:rFonts w:hint="eastAsia" w:ascii="宋体" w:hAnsi="宋体"/>
                <w:sz w:val="24"/>
              </w:rPr>
              <w:t>3</w:t>
            </w:r>
          </w:p>
        </w:tc>
        <w:tc>
          <w:tcPr>
            <w:tcW w:w="8371" w:type="dxa"/>
            <w:vAlign w:val="center"/>
          </w:tcPr>
          <w:p>
            <w:pPr>
              <w:spacing w:line="360" w:lineRule="auto"/>
              <w:rPr>
                <w:rFonts w:hint="eastAsia" w:ascii="宋体" w:hAnsi="宋体"/>
                <w:sz w:val="24"/>
              </w:rPr>
            </w:pPr>
            <w:r>
              <w:rPr>
                <w:rFonts w:hint="eastAsia" w:ascii="宋体" w:hAnsi="宋体"/>
                <w:b/>
                <w:sz w:val="24"/>
              </w:rPr>
              <w:t>磋商响应文件份数：</w:t>
            </w:r>
            <w:r>
              <w:rPr>
                <w:rFonts w:hint="eastAsia" w:ascii="宋体" w:hAnsi="宋体"/>
                <w:sz w:val="24"/>
              </w:rPr>
              <w:t>正本一份、副本二份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2" w:hRule="atLeast"/>
        </w:trPr>
        <w:tc>
          <w:tcPr>
            <w:tcW w:w="869" w:type="dxa"/>
            <w:vAlign w:val="center"/>
          </w:tcPr>
          <w:p>
            <w:pPr>
              <w:spacing w:line="360" w:lineRule="auto"/>
              <w:jc w:val="center"/>
              <w:rPr>
                <w:rFonts w:hint="eastAsia" w:ascii="宋体" w:hAnsi="宋体"/>
                <w:sz w:val="24"/>
              </w:rPr>
            </w:pPr>
            <w:r>
              <w:rPr>
                <w:rFonts w:hint="eastAsia" w:ascii="宋体" w:hAnsi="宋体"/>
                <w:sz w:val="24"/>
              </w:rPr>
              <w:t>4</w:t>
            </w:r>
          </w:p>
        </w:tc>
        <w:tc>
          <w:tcPr>
            <w:tcW w:w="8371" w:type="dxa"/>
            <w:vAlign w:val="center"/>
          </w:tcPr>
          <w:p>
            <w:pPr>
              <w:autoSpaceDE w:val="0"/>
              <w:autoSpaceDN w:val="0"/>
              <w:spacing w:line="360" w:lineRule="auto"/>
              <w:textAlignment w:val="bottom"/>
              <w:rPr>
                <w:rFonts w:hint="eastAsia" w:ascii="宋体" w:hAnsi="宋体" w:eastAsia="宋体"/>
                <w:color w:val="auto"/>
                <w:sz w:val="24"/>
                <w:lang w:eastAsia="zh-CN"/>
              </w:rPr>
            </w:pPr>
            <w:r>
              <w:rPr>
                <w:rFonts w:hint="eastAsia" w:ascii="宋体" w:hAnsi="宋体"/>
                <w:b/>
                <w:sz w:val="24"/>
              </w:rPr>
              <w:t>磋商响应文件接收单位：</w:t>
            </w:r>
            <w:r>
              <w:rPr>
                <w:rFonts w:hint="eastAsia" w:ascii="宋体" w:hAnsi="宋体"/>
                <w:color w:val="auto"/>
                <w:sz w:val="24"/>
                <w:lang w:eastAsia="zh-CN"/>
              </w:rPr>
              <w:t>泰宇建筑工程技术咨询有限公司绍兴分公司</w:t>
            </w:r>
          </w:p>
          <w:p>
            <w:pPr>
              <w:autoSpaceDE w:val="0"/>
              <w:autoSpaceDN w:val="0"/>
              <w:spacing w:line="360" w:lineRule="auto"/>
              <w:textAlignment w:val="bottom"/>
              <w:rPr>
                <w:rFonts w:hint="eastAsia" w:ascii="宋体" w:hAnsi="宋体" w:cs="Arial"/>
                <w:color w:val="auto"/>
                <w:sz w:val="24"/>
              </w:rPr>
            </w:pPr>
            <w:r>
              <w:rPr>
                <w:rFonts w:hint="eastAsia" w:ascii="宋体" w:hAnsi="宋体"/>
                <w:b/>
                <w:color w:val="auto"/>
                <w:sz w:val="24"/>
              </w:rPr>
              <w:t>磋商响应文件送达地址：</w:t>
            </w: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w:t>
            </w:r>
            <w:r>
              <w:rPr>
                <w:rFonts w:hint="eastAsia" w:ascii="宋体" w:hAnsi="宋体" w:cs="Arial"/>
                <w:color w:val="auto"/>
                <w:sz w:val="24"/>
                <w:lang w:eastAsia="zh-CN"/>
              </w:rPr>
              <w:t>绍兴市越城区朝皇路58号正大综合楼601</w:t>
            </w:r>
            <w:r>
              <w:rPr>
                <w:rFonts w:hint="eastAsia" w:ascii="宋体" w:hAnsi="宋体" w:cs="Arial"/>
                <w:color w:val="auto"/>
                <w:sz w:val="24"/>
              </w:rPr>
              <w:t>）</w:t>
            </w:r>
          </w:p>
          <w:p>
            <w:pPr>
              <w:autoSpaceDE w:val="0"/>
              <w:autoSpaceDN w:val="0"/>
              <w:spacing w:line="360" w:lineRule="auto"/>
              <w:textAlignment w:val="bottom"/>
              <w:rPr>
                <w:rFonts w:hint="eastAsia" w:ascii="宋体" w:hAnsi="宋体"/>
                <w:b/>
                <w:sz w:val="24"/>
              </w:rPr>
            </w:pPr>
            <w:r>
              <w:rPr>
                <w:rFonts w:hint="eastAsia" w:ascii="宋体" w:hAnsi="宋体"/>
                <w:b/>
                <w:bCs/>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vAlign w:val="center"/>
          </w:tcPr>
          <w:p>
            <w:pPr>
              <w:spacing w:line="360" w:lineRule="auto"/>
              <w:jc w:val="center"/>
              <w:rPr>
                <w:rFonts w:hint="eastAsia" w:ascii="宋体" w:hAnsi="宋体"/>
                <w:sz w:val="24"/>
              </w:rPr>
            </w:pPr>
            <w:r>
              <w:rPr>
                <w:rFonts w:hint="eastAsia" w:ascii="宋体" w:hAnsi="宋体"/>
                <w:sz w:val="24"/>
              </w:rPr>
              <w:t>5</w:t>
            </w:r>
          </w:p>
        </w:tc>
        <w:tc>
          <w:tcPr>
            <w:tcW w:w="8371" w:type="dxa"/>
            <w:vAlign w:val="center"/>
          </w:tcPr>
          <w:p>
            <w:pPr>
              <w:autoSpaceDE w:val="0"/>
              <w:autoSpaceDN w:val="0"/>
              <w:spacing w:line="360" w:lineRule="auto"/>
              <w:textAlignment w:val="bottom"/>
              <w:rPr>
                <w:rFonts w:hint="eastAsia" w:ascii="宋体" w:hAnsi="宋体"/>
                <w:b/>
                <w:sz w:val="24"/>
              </w:rPr>
            </w:pPr>
            <w:r>
              <w:rPr>
                <w:rFonts w:hint="eastAsia" w:ascii="宋体" w:hAnsi="宋体"/>
                <w:b/>
                <w:sz w:val="24"/>
              </w:rPr>
              <w:t>磋商截止时间：</w:t>
            </w:r>
            <w:r>
              <w:rPr>
                <w:rFonts w:hint="eastAsia" w:ascii="宋体" w:hAnsi="宋体" w:cs="Arial"/>
                <w:color w:val="0000FF"/>
                <w:sz w:val="24"/>
              </w:rPr>
              <w:t>202</w:t>
            </w:r>
            <w:r>
              <w:rPr>
                <w:rFonts w:hint="eastAsia" w:ascii="宋体" w:hAnsi="宋体" w:cs="Arial"/>
                <w:color w:val="0000FF"/>
                <w:sz w:val="24"/>
                <w:lang w:val="en-US" w:eastAsia="zh-CN"/>
              </w:rPr>
              <w:t>1</w:t>
            </w:r>
            <w:r>
              <w:rPr>
                <w:rFonts w:hint="eastAsia" w:ascii="宋体" w:hAnsi="宋体" w:cs="Arial"/>
                <w:color w:val="0000FF"/>
                <w:sz w:val="24"/>
              </w:rPr>
              <w:t>年</w:t>
            </w:r>
            <w:r>
              <w:rPr>
                <w:rFonts w:hint="eastAsia" w:ascii="宋体" w:hAnsi="宋体" w:cs="Arial"/>
                <w:color w:val="0000FF"/>
                <w:sz w:val="24"/>
                <w:lang w:val="en-US" w:eastAsia="zh-CN"/>
              </w:rPr>
              <w:t xml:space="preserve">  </w:t>
            </w:r>
            <w:r>
              <w:rPr>
                <w:rFonts w:hint="eastAsia" w:ascii="宋体" w:hAnsi="宋体" w:cs="Arial"/>
                <w:color w:val="0000FF"/>
                <w:sz w:val="24"/>
              </w:rPr>
              <w:t>月</w:t>
            </w:r>
            <w:r>
              <w:rPr>
                <w:rFonts w:hint="eastAsia" w:ascii="宋体" w:hAnsi="宋体" w:cs="Arial"/>
                <w:color w:val="0000FF"/>
                <w:sz w:val="24"/>
                <w:lang w:val="en-US" w:eastAsia="zh-CN"/>
              </w:rPr>
              <w:t xml:space="preserve">  </w:t>
            </w:r>
            <w:r>
              <w:rPr>
                <w:rFonts w:hint="eastAsia" w:ascii="宋体" w:hAnsi="宋体" w:cs="Arial"/>
                <w:color w:val="0000FF"/>
                <w:sz w:val="24"/>
              </w:rPr>
              <w:t>日</w:t>
            </w:r>
            <w:r>
              <w:rPr>
                <w:rFonts w:hint="eastAsia" w:ascii="宋体" w:hAnsi="宋体"/>
                <w:color w:val="0000FF"/>
                <w:sz w:val="24"/>
                <w:lang w:val="en-US" w:eastAsia="zh-CN"/>
              </w:rPr>
              <w:t>00</w:t>
            </w:r>
            <w:r>
              <w:rPr>
                <w:rFonts w:hint="eastAsia" w:ascii="宋体" w:hAnsi="宋体"/>
                <w:color w:val="0000FF"/>
                <w:sz w:val="24"/>
              </w:rPr>
              <w:t>:00时整。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vAlign w:val="center"/>
          </w:tcPr>
          <w:p>
            <w:pPr>
              <w:spacing w:line="360" w:lineRule="auto"/>
              <w:jc w:val="center"/>
              <w:rPr>
                <w:rFonts w:hint="eastAsia" w:ascii="宋体" w:hAnsi="宋体"/>
                <w:sz w:val="24"/>
              </w:rPr>
            </w:pPr>
            <w:r>
              <w:rPr>
                <w:rFonts w:hint="eastAsia" w:ascii="宋体" w:hAnsi="宋体"/>
                <w:sz w:val="24"/>
              </w:rPr>
              <w:t>6</w:t>
            </w:r>
          </w:p>
        </w:tc>
        <w:tc>
          <w:tcPr>
            <w:tcW w:w="8371" w:type="dxa"/>
            <w:vAlign w:val="center"/>
          </w:tcPr>
          <w:p>
            <w:pPr>
              <w:spacing w:line="360" w:lineRule="auto"/>
              <w:rPr>
                <w:rFonts w:hint="eastAsia" w:ascii="宋体" w:hAnsi="宋体"/>
                <w:color w:val="0000FF"/>
                <w:sz w:val="24"/>
              </w:rPr>
            </w:pPr>
            <w:r>
              <w:rPr>
                <w:rFonts w:hint="eastAsia" w:ascii="宋体" w:hAnsi="宋体"/>
                <w:b/>
                <w:sz w:val="24"/>
              </w:rPr>
              <w:t>磋商时间：</w:t>
            </w:r>
            <w:r>
              <w:rPr>
                <w:rFonts w:hint="eastAsia" w:ascii="宋体" w:hAnsi="宋体" w:cs="Arial"/>
                <w:color w:val="0000FF"/>
                <w:sz w:val="24"/>
              </w:rPr>
              <w:t>202</w:t>
            </w:r>
            <w:r>
              <w:rPr>
                <w:rFonts w:hint="eastAsia" w:ascii="宋体" w:hAnsi="宋体" w:cs="Arial"/>
                <w:color w:val="0000FF"/>
                <w:sz w:val="24"/>
                <w:lang w:val="en-US" w:eastAsia="zh-CN"/>
              </w:rPr>
              <w:t>1</w:t>
            </w:r>
            <w:r>
              <w:rPr>
                <w:rFonts w:hint="eastAsia" w:ascii="宋体" w:hAnsi="宋体" w:cs="Arial"/>
                <w:color w:val="0000FF"/>
                <w:sz w:val="24"/>
              </w:rPr>
              <w:t>年</w:t>
            </w:r>
            <w:r>
              <w:rPr>
                <w:rFonts w:hint="eastAsia" w:ascii="宋体" w:hAnsi="宋体" w:cs="Arial"/>
                <w:color w:val="0000FF"/>
                <w:sz w:val="24"/>
                <w:lang w:val="en-US" w:eastAsia="zh-CN"/>
              </w:rPr>
              <w:t xml:space="preserve">  </w:t>
            </w:r>
            <w:r>
              <w:rPr>
                <w:rFonts w:hint="eastAsia" w:ascii="宋体" w:hAnsi="宋体" w:cs="Arial"/>
                <w:color w:val="0000FF"/>
                <w:sz w:val="24"/>
              </w:rPr>
              <w:t>月</w:t>
            </w:r>
            <w:r>
              <w:rPr>
                <w:rFonts w:hint="eastAsia" w:ascii="宋体" w:hAnsi="宋体" w:cs="Arial"/>
                <w:color w:val="0000FF"/>
                <w:sz w:val="24"/>
                <w:lang w:val="en-US" w:eastAsia="zh-CN"/>
              </w:rPr>
              <w:t xml:space="preserve">  </w:t>
            </w:r>
            <w:r>
              <w:rPr>
                <w:rFonts w:hint="eastAsia" w:ascii="宋体" w:hAnsi="宋体" w:cs="Arial"/>
                <w:color w:val="0000FF"/>
                <w:sz w:val="24"/>
              </w:rPr>
              <w:t>日</w:t>
            </w:r>
            <w:r>
              <w:rPr>
                <w:rFonts w:hint="eastAsia" w:ascii="宋体" w:hAnsi="宋体"/>
                <w:color w:val="0000FF"/>
                <w:sz w:val="24"/>
                <w:lang w:val="en-US" w:eastAsia="zh-CN"/>
              </w:rPr>
              <w:t>00</w:t>
            </w:r>
            <w:r>
              <w:rPr>
                <w:rFonts w:hint="eastAsia" w:ascii="宋体" w:hAnsi="宋体"/>
                <w:color w:val="0000FF"/>
                <w:sz w:val="24"/>
              </w:rPr>
              <w:t>:00时整</w:t>
            </w:r>
          </w:p>
          <w:p>
            <w:pPr>
              <w:spacing w:line="360" w:lineRule="auto"/>
              <w:rPr>
                <w:rFonts w:hint="eastAsia" w:ascii="宋体" w:hAnsi="宋体"/>
                <w:sz w:val="24"/>
              </w:rPr>
            </w:pPr>
            <w:r>
              <w:rPr>
                <w:rFonts w:hint="eastAsia" w:ascii="宋体" w:hAnsi="宋体"/>
                <w:b/>
                <w:sz w:val="24"/>
              </w:rPr>
              <w:t>磋商地点：</w:t>
            </w:r>
            <w:r>
              <w:rPr>
                <w:rFonts w:hint="eastAsia" w:ascii="宋体" w:hAnsi="宋体" w:cs="Arial"/>
                <w:color w:val="auto"/>
                <w:sz w:val="24"/>
                <w:lang w:eastAsia="zh-CN"/>
              </w:rPr>
              <w:t>泰宇建筑工程技术咨询有限公司绍兴分公司</w:t>
            </w:r>
            <w:r>
              <w:rPr>
                <w:rFonts w:hint="eastAsia" w:ascii="宋体" w:hAnsi="宋体" w:cs="Arial"/>
                <w:color w:val="auto"/>
                <w:sz w:val="24"/>
              </w:rPr>
              <w:t>（</w:t>
            </w:r>
            <w:r>
              <w:rPr>
                <w:rFonts w:hint="eastAsia" w:ascii="宋体" w:hAnsi="宋体" w:cs="Arial"/>
                <w:color w:val="auto"/>
                <w:sz w:val="24"/>
                <w:lang w:eastAsia="zh-CN"/>
              </w:rPr>
              <w:t>绍兴市越城区朝皇路58号正大综合楼601（泰宇咨询）会议室</w:t>
            </w:r>
            <w:r>
              <w:rPr>
                <w:rFonts w:hint="eastAsia" w:ascii="宋体" w:hAnsi="宋体" w:cs="Arial"/>
                <w:color w:val="auto"/>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869" w:type="dxa"/>
            <w:vAlign w:val="center"/>
          </w:tcPr>
          <w:p>
            <w:pPr>
              <w:spacing w:line="360" w:lineRule="auto"/>
              <w:jc w:val="center"/>
              <w:rPr>
                <w:rFonts w:hint="eastAsia" w:ascii="宋体" w:hAnsi="宋体"/>
                <w:sz w:val="24"/>
              </w:rPr>
            </w:pPr>
            <w:r>
              <w:rPr>
                <w:rFonts w:hint="eastAsia" w:ascii="宋体" w:hAnsi="宋体"/>
                <w:sz w:val="24"/>
              </w:rPr>
              <w:t>7</w:t>
            </w:r>
          </w:p>
        </w:tc>
        <w:tc>
          <w:tcPr>
            <w:tcW w:w="8371" w:type="dxa"/>
            <w:vAlign w:val="center"/>
          </w:tcPr>
          <w:p>
            <w:pPr>
              <w:spacing w:line="360" w:lineRule="auto"/>
              <w:rPr>
                <w:rFonts w:hint="eastAsia" w:ascii="宋体" w:hAnsi="宋体" w:cs="Arial"/>
                <w:b/>
                <w:color w:val="auto"/>
                <w:sz w:val="24"/>
              </w:rPr>
            </w:pPr>
            <w:r>
              <w:rPr>
                <w:rFonts w:hint="eastAsia" w:ascii="宋体" w:hAnsi="宋体" w:cs="Arial"/>
                <w:b/>
                <w:color w:val="auto"/>
                <w:sz w:val="24"/>
              </w:rPr>
              <w:t>联系方式：</w:t>
            </w:r>
          </w:p>
          <w:p>
            <w:pPr>
              <w:spacing w:line="360" w:lineRule="auto"/>
              <w:rPr>
                <w:rFonts w:hint="default" w:ascii="宋体" w:hAnsi="宋体" w:cs="Arial"/>
                <w:color w:val="auto"/>
                <w:sz w:val="24"/>
                <w:lang w:val="en-US"/>
              </w:rPr>
            </w:pPr>
            <w:r>
              <w:rPr>
                <w:rFonts w:hint="eastAsia" w:ascii="宋体" w:hAnsi="宋体" w:cs="Arial"/>
                <w:color w:val="auto"/>
                <w:sz w:val="24"/>
                <w:lang w:eastAsia="zh-CN"/>
              </w:rPr>
              <w:t>泰宇建筑工程技术咨询有限公司绍兴分公司</w:t>
            </w:r>
            <w:r>
              <w:rPr>
                <w:rFonts w:hint="eastAsia" w:ascii="宋体" w:hAnsi="宋体" w:cs="Arial"/>
                <w:color w:val="0000FF"/>
                <w:sz w:val="24"/>
              </w:rPr>
              <w:t xml:space="preserve"> </w:t>
            </w:r>
            <w:r>
              <w:rPr>
                <w:rFonts w:hint="eastAsia" w:ascii="宋体" w:hAnsi="宋体" w:cs="Arial"/>
                <w:color w:val="auto"/>
                <w:sz w:val="24"/>
              </w:rPr>
              <w:t xml:space="preserve">   </w:t>
            </w:r>
            <w:r>
              <w:rPr>
                <w:rFonts w:hint="eastAsia" w:ascii="宋体" w:hAnsi="宋体" w:cs="Arial"/>
                <w:color w:val="auto"/>
                <w:sz w:val="24"/>
                <w:lang w:val="en-US" w:eastAsia="zh-CN"/>
              </w:rPr>
              <w:t>冯工</w:t>
            </w:r>
            <w:r>
              <w:rPr>
                <w:rFonts w:hint="eastAsia" w:ascii="宋体" w:hAnsi="宋体" w:cs="Arial"/>
                <w:color w:val="auto"/>
                <w:sz w:val="24"/>
              </w:rPr>
              <w:t xml:space="preserve">     </w:t>
            </w:r>
            <w:r>
              <w:rPr>
                <w:rFonts w:hint="eastAsia" w:ascii="宋体" w:hAnsi="宋体" w:cs="Arial"/>
                <w:color w:val="auto"/>
                <w:sz w:val="24"/>
                <w:lang w:val="en-US" w:eastAsia="zh-CN"/>
              </w:rPr>
              <w:t xml:space="preserve">   13867510752</w:t>
            </w:r>
          </w:p>
          <w:p>
            <w:pPr>
              <w:spacing w:line="360" w:lineRule="auto"/>
              <w:jc w:val="left"/>
              <w:rPr>
                <w:rFonts w:hint="eastAsia" w:ascii="宋体" w:hAnsi="宋体" w:eastAsia="宋体" w:cs="Arial"/>
                <w:color w:val="auto"/>
                <w:sz w:val="24"/>
                <w:lang w:eastAsia="zh-CN"/>
              </w:rPr>
            </w:pPr>
            <w:r>
              <w:rPr>
                <w:rFonts w:hint="eastAsia" w:ascii="宋体" w:hAnsi="宋体" w:cs="Arial"/>
                <w:color w:val="auto"/>
                <w:sz w:val="24"/>
                <w:lang w:eastAsia="zh-CN"/>
              </w:rPr>
              <w:t>绍兴市发展和改革委员会</w:t>
            </w:r>
            <w:r>
              <w:rPr>
                <w:rFonts w:hint="eastAsia" w:ascii="宋体" w:hAnsi="宋体" w:cs="Arial"/>
                <w:color w:val="auto"/>
                <w:sz w:val="24"/>
              </w:rPr>
              <w:t xml:space="preserve">             </w:t>
            </w:r>
            <w:r>
              <w:rPr>
                <w:rFonts w:hint="eastAsia" w:ascii="宋体" w:hAnsi="宋体" w:cs="Arial"/>
                <w:color w:val="auto"/>
                <w:sz w:val="24"/>
                <w:lang w:val="en-US" w:eastAsia="zh-CN"/>
              </w:rPr>
              <w:t xml:space="preserve">       魏鹏鹏</w:t>
            </w:r>
            <w:r>
              <w:rPr>
                <w:rFonts w:hint="eastAsia" w:ascii="宋体" w:hAnsi="宋体" w:cs="Arial"/>
                <w:color w:val="auto"/>
                <w:sz w:val="24"/>
              </w:rPr>
              <w:t xml:space="preserve">      </w:t>
            </w:r>
            <w:r>
              <w:rPr>
                <w:rFonts w:hint="eastAsia" w:ascii="宋体" w:hAnsi="宋体"/>
                <w:color w:val="auto"/>
                <w:sz w:val="24"/>
              </w:rPr>
              <w:t>0575-</w:t>
            </w:r>
            <w:r>
              <w:rPr>
                <w:rFonts w:hint="eastAsia" w:ascii="宋体" w:hAnsi="宋体"/>
                <w:color w:val="auto"/>
                <w:sz w:val="24"/>
                <w:lang w:eastAsia="zh-CN"/>
              </w:rPr>
              <w:t>85131242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869" w:type="dxa"/>
            <w:vAlign w:val="center"/>
          </w:tcPr>
          <w:p>
            <w:pPr>
              <w:spacing w:line="360" w:lineRule="auto"/>
              <w:jc w:val="center"/>
              <w:rPr>
                <w:rFonts w:hint="eastAsia" w:ascii="宋体" w:hAnsi="宋体"/>
                <w:sz w:val="24"/>
              </w:rPr>
            </w:pPr>
            <w:r>
              <w:rPr>
                <w:rFonts w:hint="eastAsia" w:ascii="宋体" w:hAnsi="宋体"/>
                <w:sz w:val="24"/>
              </w:rPr>
              <w:t>8</w:t>
            </w:r>
          </w:p>
        </w:tc>
        <w:tc>
          <w:tcPr>
            <w:tcW w:w="8371" w:type="dxa"/>
            <w:vAlign w:val="center"/>
          </w:tcPr>
          <w:p>
            <w:pPr>
              <w:spacing w:line="360" w:lineRule="auto"/>
              <w:rPr>
                <w:rFonts w:hint="eastAsia" w:ascii="宋体" w:hAnsi="宋体"/>
                <w:sz w:val="24"/>
              </w:rPr>
            </w:pPr>
            <w:r>
              <w:rPr>
                <w:rFonts w:hint="eastAsia" w:ascii="宋体" w:hAnsi="宋体"/>
                <w:sz w:val="24"/>
              </w:rPr>
              <w:t>解释：凡涉及本磋商文件的解释权属于采购人、采购代理机构。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9240" w:type="dxa"/>
            <w:gridSpan w:val="2"/>
            <w:vAlign w:val="center"/>
          </w:tcPr>
          <w:p>
            <w:pPr>
              <w:spacing w:line="360" w:lineRule="auto"/>
              <w:rPr>
                <w:rFonts w:hint="eastAsia" w:ascii="宋体" w:hAnsi="宋体" w:cs="Arial"/>
                <w:sz w:val="24"/>
              </w:rPr>
            </w:pPr>
            <w:r>
              <w:rPr>
                <w:rFonts w:hint="eastAsia" w:ascii="宋体" w:hAnsi="宋体" w:cs="Arial"/>
                <w:sz w:val="24"/>
                <w:lang w:eastAsia="zh-CN"/>
              </w:rPr>
              <w:t>采购人</w:t>
            </w:r>
            <w:r>
              <w:rPr>
                <w:rFonts w:hint="eastAsia" w:ascii="宋体" w:hAnsi="宋体" w:cs="Arial"/>
                <w:sz w:val="24"/>
              </w:rPr>
              <w:t>须向招标代理机构按如下标准和规定交纳以下服务费：</w:t>
            </w:r>
          </w:p>
          <w:p>
            <w:pPr>
              <w:spacing w:line="360" w:lineRule="auto"/>
              <w:jc w:val="left"/>
              <w:rPr>
                <w:rFonts w:hint="eastAsia" w:ascii="宋体" w:hAnsi="宋体" w:cs="楷体_GB2312"/>
                <w:sz w:val="24"/>
              </w:rPr>
            </w:pPr>
            <w:r>
              <w:rPr>
                <w:rFonts w:hint="eastAsia" w:ascii="宋体" w:hAnsi="宋体" w:cs="Arial"/>
                <w:sz w:val="24"/>
              </w:rPr>
              <w:t>（1）</w:t>
            </w:r>
            <w:r>
              <w:rPr>
                <w:rFonts w:hint="eastAsia" w:ascii="宋体" w:hAnsi="宋体" w:cs="楷体_GB2312"/>
                <w:sz w:val="24"/>
              </w:rPr>
              <w:t>以中标通知中确定的中标总金额作为服务费的计算基数，具体比例</w:t>
            </w:r>
            <w:r>
              <w:rPr>
                <w:rFonts w:hint="eastAsia" w:ascii="宋体" w:hAnsi="宋体" w:cs="楷体_GB2312"/>
                <w:sz w:val="24"/>
                <w:lang w:eastAsia="zh-CN"/>
              </w:rPr>
              <w:t>参考</w:t>
            </w:r>
            <w:r>
              <w:rPr>
                <w:rFonts w:hint="eastAsia" w:ascii="宋体" w:hAnsi="宋体" w:cs="楷体_GB2312"/>
                <w:sz w:val="24"/>
              </w:rPr>
              <w:t>《国家计委关于印发&lt;招标代理服务费管理暂行办法&gt;的通知》（计价格[2002]1980号）执行。</w:t>
            </w:r>
          </w:p>
          <w:p>
            <w:pPr>
              <w:spacing w:line="360" w:lineRule="auto"/>
              <w:ind w:firstLine="360" w:firstLineChars="150"/>
              <w:jc w:val="left"/>
              <w:rPr>
                <w:rFonts w:hint="eastAsia" w:ascii="宋体" w:hAnsi="宋体" w:cs="楷体_GB2312"/>
                <w:color w:val="auto"/>
                <w:sz w:val="24"/>
              </w:rPr>
            </w:pPr>
            <w:r>
              <w:rPr>
                <w:rFonts w:hint="eastAsia" w:ascii="宋体" w:hAnsi="宋体" w:cs="楷体_GB2312"/>
                <w:color w:val="auto"/>
                <w:sz w:val="24"/>
              </w:rPr>
              <w:t>收费标准：</w:t>
            </w:r>
            <w:r>
              <w:rPr>
                <w:rFonts w:hint="eastAsia" w:ascii="宋体" w:hAnsi="宋体" w:cs="楷体_GB2312"/>
                <w:color w:val="auto"/>
                <w:sz w:val="24"/>
                <w:lang w:eastAsia="zh-CN"/>
              </w:rPr>
              <w:t>协议价</w:t>
            </w:r>
            <w:r>
              <w:rPr>
                <w:rFonts w:hint="eastAsia" w:ascii="宋体" w:hAnsi="宋体" w:cs="楷体_GB2312"/>
                <w:color w:val="auto"/>
                <w:sz w:val="24"/>
                <w:lang w:val="en-US" w:eastAsia="zh-CN"/>
              </w:rPr>
              <w:t>3000元</w:t>
            </w:r>
            <w:r>
              <w:rPr>
                <w:rFonts w:hint="eastAsia" w:ascii="宋体" w:hAnsi="宋体" w:cs="楷体_GB2312"/>
                <w:color w:val="auto"/>
                <w:sz w:val="24"/>
              </w:rPr>
              <w:t>。</w:t>
            </w:r>
            <w:r>
              <w:rPr>
                <w:rFonts w:hint="eastAsia" w:ascii="宋体" w:hAnsi="宋体"/>
                <w:color w:val="auto"/>
                <w:sz w:val="24"/>
                <w:lang w:eastAsia="zh-CN"/>
              </w:rPr>
              <w:t>专家评审费用另行收取，仅开具收据，用现金交纳，不包含在代理服务费用内。</w:t>
            </w:r>
          </w:p>
          <w:p>
            <w:pPr>
              <w:spacing w:line="360" w:lineRule="auto"/>
              <w:rPr>
                <w:rFonts w:hint="eastAsia" w:ascii="宋体" w:hAnsi="宋体" w:cs="Arial"/>
                <w:sz w:val="24"/>
              </w:rPr>
            </w:pPr>
            <w:r>
              <w:rPr>
                <w:rFonts w:hint="eastAsia" w:ascii="宋体" w:hAnsi="宋体" w:cs="Arial"/>
                <w:sz w:val="24"/>
              </w:rPr>
              <w:t>（2）中标服务费的交纳方式：</w:t>
            </w:r>
          </w:p>
          <w:p>
            <w:pPr>
              <w:spacing w:line="360" w:lineRule="auto"/>
              <w:ind w:firstLine="735"/>
              <w:rPr>
                <w:rFonts w:hint="eastAsia" w:ascii="宋体" w:hAnsi="宋体" w:cs="Arial"/>
                <w:sz w:val="24"/>
              </w:rPr>
            </w:pPr>
            <w:r>
              <w:rPr>
                <w:rFonts w:hint="eastAsia" w:ascii="宋体" w:hAnsi="宋体" w:cs="Arial"/>
                <w:sz w:val="24"/>
              </w:rPr>
              <w:t>用银行支票、汇票、电汇、现金等付款方式直接交纳中标服务费。</w:t>
            </w:r>
          </w:p>
          <w:p>
            <w:pPr>
              <w:spacing w:line="360" w:lineRule="auto"/>
              <w:ind w:firstLine="735"/>
              <w:rPr>
                <w:rFonts w:hint="eastAsia" w:ascii="宋体" w:hAnsi="宋体" w:eastAsia="宋体" w:cs="Arial"/>
                <w:color w:val="auto"/>
                <w:sz w:val="24"/>
                <w:lang w:eastAsia="zh-CN"/>
              </w:rPr>
            </w:pPr>
            <w:r>
              <w:rPr>
                <w:rFonts w:hint="eastAsia" w:ascii="宋体" w:hAnsi="宋体" w:cs="Arial"/>
                <w:sz w:val="24"/>
              </w:rPr>
              <w:t>公司名称：</w:t>
            </w:r>
            <w:r>
              <w:rPr>
                <w:rFonts w:hint="eastAsia" w:ascii="宋体" w:hAnsi="宋体" w:cs="Arial"/>
                <w:color w:val="auto"/>
                <w:sz w:val="24"/>
                <w:lang w:eastAsia="zh-CN"/>
              </w:rPr>
              <w:t>泰宇建筑工程技术咨询有限公司绍兴分公司</w:t>
            </w:r>
          </w:p>
          <w:p>
            <w:pPr>
              <w:spacing w:line="360" w:lineRule="auto"/>
              <w:ind w:firstLine="735"/>
              <w:rPr>
                <w:rFonts w:hint="eastAsia" w:ascii="宋体" w:hAnsi="宋体" w:eastAsia="宋体" w:cs="Arial"/>
                <w:color w:val="auto"/>
                <w:sz w:val="24"/>
                <w:lang w:eastAsia="zh-CN"/>
              </w:rPr>
            </w:pPr>
            <w:r>
              <w:rPr>
                <w:rFonts w:hint="eastAsia" w:ascii="宋体" w:hAnsi="宋体" w:cs="Arial"/>
                <w:color w:val="auto"/>
                <w:sz w:val="24"/>
              </w:rPr>
              <w:t>账    号：</w:t>
            </w:r>
            <w:r>
              <w:rPr>
                <w:rFonts w:hint="eastAsia" w:ascii="宋体" w:hAnsi="宋体" w:cs="Arial"/>
                <w:color w:val="auto"/>
                <w:sz w:val="24"/>
                <w:lang w:eastAsia="zh-CN"/>
              </w:rPr>
              <w:t>85010078801000000518</w:t>
            </w:r>
          </w:p>
          <w:p>
            <w:pPr>
              <w:spacing w:line="360" w:lineRule="auto"/>
              <w:ind w:firstLine="720" w:firstLineChars="300"/>
              <w:rPr>
                <w:rFonts w:hint="eastAsia" w:ascii="宋体" w:hAnsi="宋体" w:eastAsia="宋体" w:cs="Arial"/>
                <w:color w:val="auto"/>
                <w:sz w:val="24"/>
                <w:lang w:eastAsia="zh-CN"/>
              </w:rPr>
            </w:pPr>
            <w:r>
              <w:rPr>
                <w:rFonts w:hint="eastAsia" w:ascii="宋体" w:hAnsi="宋体" w:cs="Arial"/>
                <w:color w:val="auto"/>
                <w:sz w:val="24"/>
              </w:rPr>
              <w:t>开 户 行：</w:t>
            </w:r>
            <w:r>
              <w:rPr>
                <w:rFonts w:hint="eastAsia" w:ascii="宋体" w:hAnsi="宋体" w:cs="Arial"/>
                <w:color w:val="auto"/>
                <w:sz w:val="24"/>
                <w:lang w:eastAsia="zh-CN"/>
              </w:rPr>
              <w:t>上海浦东发展银行绍兴分行</w:t>
            </w:r>
          </w:p>
          <w:p>
            <w:pPr>
              <w:spacing w:line="360" w:lineRule="auto"/>
              <w:rPr>
                <w:rFonts w:hint="eastAsia" w:ascii="宋体" w:hAnsi="宋体"/>
                <w:sz w:val="24"/>
              </w:rPr>
            </w:pPr>
            <w:r>
              <w:rPr>
                <w:rFonts w:hint="eastAsia" w:ascii="宋体" w:hAnsi="宋体" w:cs="Arial"/>
                <w:sz w:val="24"/>
              </w:rPr>
              <w:t>（3）领取中标通知书前交纳。</w:t>
            </w:r>
          </w:p>
        </w:tc>
      </w:tr>
    </w:tbl>
    <w:p>
      <w:pPr>
        <w:spacing w:line="360" w:lineRule="auto"/>
        <w:ind w:left="238"/>
        <w:jc w:val="center"/>
        <w:rPr>
          <w:rFonts w:hint="eastAsia" w:ascii="宋体" w:hAnsi="宋体"/>
          <w:sz w:val="24"/>
        </w:rPr>
      </w:pPr>
    </w:p>
    <w:p>
      <w:pPr>
        <w:pStyle w:val="31"/>
        <w:widowControl w:val="0"/>
        <w:spacing w:after="0" w:afterLines="0" w:line="360" w:lineRule="auto"/>
        <w:jc w:val="both"/>
        <w:rPr>
          <w:rFonts w:hint="eastAsia" w:ascii="宋体" w:hAnsi="宋体" w:eastAsia="宋体"/>
          <w:b/>
          <w:bCs w:val="0"/>
          <w:sz w:val="48"/>
        </w:rPr>
      </w:pPr>
      <w:r>
        <w:rPr>
          <w:rFonts w:hint="eastAsia" w:ascii="宋体" w:hAnsi="宋体" w:eastAsia="宋体"/>
          <w:b/>
          <w:bCs w:val="0"/>
          <w:sz w:val="48"/>
        </w:rPr>
        <w:t>注：</w:t>
      </w:r>
    </w:p>
    <w:p>
      <w:pPr>
        <w:snapToGrid w:val="0"/>
        <w:spacing w:line="360" w:lineRule="auto"/>
        <w:rPr>
          <w:rFonts w:hint="eastAsia" w:ascii="宋体" w:hAnsi="宋体"/>
          <w:b/>
          <w:kern w:val="0"/>
          <w:sz w:val="30"/>
          <w:szCs w:val="30"/>
        </w:rPr>
      </w:pPr>
      <w:r>
        <w:rPr>
          <w:rFonts w:hint="eastAsia" w:ascii="宋体" w:hAnsi="宋体" w:eastAsia="宋体"/>
          <w:b/>
          <w:bCs/>
          <w:sz w:val="30"/>
          <w:szCs w:val="30"/>
        </w:rPr>
        <w:t>1、</w:t>
      </w:r>
      <w:r>
        <w:rPr>
          <w:rFonts w:hint="eastAsia" w:ascii="宋体" w:hAnsi="宋体"/>
          <w:b/>
          <w:kern w:val="0"/>
          <w:sz w:val="30"/>
          <w:szCs w:val="30"/>
        </w:rPr>
        <w:t>报名后不参加磋商的</w:t>
      </w:r>
      <w:r>
        <w:rPr>
          <w:rFonts w:hint="eastAsia" w:ascii="宋体" w:hAnsi="宋体"/>
          <w:b/>
          <w:kern w:val="0"/>
          <w:sz w:val="30"/>
          <w:szCs w:val="30"/>
          <w:lang w:eastAsia="zh-CN"/>
        </w:rPr>
        <w:t>投标单位</w:t>
      </w:r>
      <w:r>
        <w:rPr>
          <w:rFonts w:hint="eastAsia" w:ascii="宋体" w:hAnsi="宋体"/>
          <w:b/>
          <w:kern w:val="0"/>
          <w:sz w:val="30"/>
          <w:szCs w:val="30"/>
        </w:rPr>
        <w:t>，须提供书面说明。</w:t>
      </w:r>
    </w:p>
    <w:p>
      <w:pPr>
        <w:snapToGrid w:val="0"/>
        <w:spacing w:line="360" w:lineRule="auto"/>
        <w:jc w:val="center"/>
        <w:rPr>
          <w:rFonts w:hint="eastAsia" w:ascii="宋体" w:hAnsi="宋体"/>
          <w:b/>
          <w:sz w:val="36"/>
          <w:szCs w:val="36"/>
        </w:rPr>
      </w:pPr>
      <w:r>
        <w:rPr>
          <w:rFonts w:hint="eastAsia" w:ascii="宋体" w:hAnsi="宋体"/>
        </w:rPr>
        <w:br w:type="page"/>
      </w:r>
      <w:r>
        <w:rPr>
          <w:rFonts w:hint="eastAsia" w:ascii="宋体" w:hAnsi="宋体"/>
          <w:b/>
          <w:sz w:val="36"/>
          <w:szCs w:val="36"/>
        </w:rPr>
        <w:t>一、总则</w:t>
      </w:r>
    </w:p>
    <w:p>
      <w:pPr>
        <w:snapToGrid w:val="0"/>
        <w:spacing w:line="360" w:lineRule="auto"/>
        <w:jc w:val="left"/>
        <w:rPr>
          <w:rFonts w:hint="eastAsia" w:ascii="宋体" w:hAnsi="宋体"/>
          <w:b/>
          <w:sz w:val="24"/>
        </w:rPr>
      </w:pPr>
      <w:r>
        <w:rPr>
          <w:rFonts w:hint="eastAsia" w:ascii="宋体" w:hAnsi="宋体"/>
          <w:b/>
          <w:sz w:val="24"/>
        </w:rPr>
        <w:t>1. 适用范围</w:t>
      </w:r>
    </w:p>
    <w:p>
      <w:pPr>
        <w:snapToGrid w:val="0"/>
        <w:spacing w:line="360" w:lineRule="auto"/>
        <w:ind w:left="0" w:leftChars="0" w:firstLine="420" w:firstLineChars="175"/>
        <w:jc w:val="left"/>
        <w:rPr>
          <w:rFonts w:hint="eastAsia" w:ascii="宋体" w:hAnsi="宋体"/>
          <w:sz w:val="24"/>
        </w:rPr>
      </w:pPr>
      <w:r>
        <w:rPr>
          <w:rFonts w:hint="eastAsia" w:ascii="宋体" w:hAnsi="宋体"/>
          <w:sz w:val="24"/>
        </w:rPr>
        <w:t>本磋商文件适用于本次所述项目的竞争性磋商。</w:t>
      </w:r>
    </w:p>
    <w:p>
      <w:pPr>
        <w:snapToGrid w:val="0"/>
        <w:spacing w:line="360" w:lineRule="auto"/>
        <w:jc w:val="left"/>
        <w:rPr>
          <w:rFonts w:hint="eastAsia" w:ascii="宋体" w:hAnsi="宋体"/>
          <w:b/>
          <w:sz w:val="24"/>
        </w:rPr>
      </w:pPr>
      <w:r>
        <w:rPr>
          <w:rFonts w:hint="eastAsia" w:ascii="宋体" w:hAnsi="宋体"/>
          <w:b/>
          <w:sz w:val="24"/>
        </w:rPr>
        <w:t>2. 定义</w:t>
      </w:r>
    </w:p>
    <w:p>
      <w:pPr>
        <w:snapToGrid w:val="0"/>
        <w:spacing w:line="360" w:lineRule="auto"/>
        <w:jc w:val="left"/>
        <w:rPr>
          <w:rFonts w:hint="eastAsia" w:ascii="宋体" w:hAnsi="宋体"/>
          <w:sz w:val="24"/>
        </w:rPr>
      </w:pPr>
      <w:r>
        <w:rPr>
          <w:rFonts w:hint="eastAsia" w:ascii="宋体" w:hAnsi="宋体"/>
          <w:sz w:val="24"/>
        </w:rPr>
        <w:t>2.1 “产品”系指供方按磋商文件规定，经合法途径取得的，须向采购人提供的一切报告、手册及其它有关技术资料和材料。</w:t>
      </w:r>
    </w:p>
    <w:p>
      <w:pPr>
        <w:snapToGrid w:val="0"/>
        <w:spacing w:line="360" w:lineRule="auto"/>
        <w:jc w:val="left"/>
        <w:rPr>
          <w:rFonts w:hint="eastAsia" w:ascii="宋体" w:hAnsi="宋体"/>
          <w:sz w:val="24"/>
        </w:rPr>
      </w:pPr>
      <w:r>
        <w:rPr>
          <w:rFonts w:hint="eastAsia" w:ascii="宋体" w:hAnsi="宋体"/>
          <w:sz w:val="24"/>
        </w:rPr>
        <w:t>2.2 “服务”系指磋商文件规定</w:t>
      </w:r>
      <w:r>
        <w:rPr>
          <w:rFonts w:hint="eastAsia" w:ascii="宋体" w:hAnsi="宋体"/>
          <w:sz w:val="24"/>
          <w:lang w:eastAsia="zh-CN"/>
        </w:rPr>
        <w:t>投标单位</w:t>
      </w:r>
      <w:r>
        <w:rPr>
          <w:rFonts w:hint="eastAsia" w:ascii="宋体" w:hAnsi="宋体"/>
          <w:sz w:val="24"/>
        </w:rPr>
        <w:t>须承担的技术协助、校准、技术指导以及其他类似的义务。</w:t>
      </w:r>
    </w:p>
    <w:p>
      <w:pPr>
        <w:snapToGrid w:val="0"/>
        <w:spacing w:line="360" w:lineRule="auto"/>
        <w:jc w:val="left"/>
        <w:rPr>
          <w:rFonts w:hint="eastAsia" w:ascii="宋体" w:hAnsi="宋体"/>
          <w:sz w:val="24"/>
        </w:rPr>
      </w:pPr>
      <w:r>
        <w:rPr>
          <w:rFonts w:hint="eastAsia" w:ascii="宋体" w:hAnsi="宋体"/>
          <w:sz w:val="24"/>
        </w:rPr>
        <w:t>2.3 “项目”系指</w:t>
      </w:r>
      <w:r>
        <w:rPr>
          <w:rFonts w:hint="eastAsia" w:ascii="宋体" w:hAnsi="宋体"/>
          <w:sz w:val="24"/>
          <w:lang w:eastAsia="zh-CN"/>
        </w:rPr>
        <w:t>投标单位</w:t>
      </w:r>
      <w:r>
        <w:rPr>
          <w:rFonts w:hint="eastAsia" w:ascii="宋体" w:hAnsi="宋体"/>
          <w:sz w:val="24"/>
        </w:rPr>
        <w:t>按磋商文件规定向采购人提供的产品和服务。</w:t>
      </w:r>
    </w:p>
    <w:p>
      <w:pPr>
        <w:snapToGrid w:val="0"/>
        <w:spacing w:line="360" w:lineRule="auto"/>
        <w:jc w:val="left"/>
        <w:rPr>
          <w:rFonts w:hint="eastAsia" w:ascii="宋体" w:hAnsi="宋体"/>
          <w:sz w:val="24"/>
        </w:rPr>
      </w:pPr>
      <w:r>
        <w:rPr>
          <w:rFonts w:hint="eastAsia" w:ascii="宋体" w:hAnsi="宋体"/>
          <w:sz w:val="24"/>
        </w:rPr>
        <w:t>2.4 “授权代表”系指法定代表人的被授权委托人。</w:t>
      </w:r>
    </w:p>
    <w:p>
      <w:pPr>
        <w:snapToGrid w:val="0"/>
        <w:spacing w:line="360" w:lineRule="auto"/>
        <w:jc w:val="left"/>
        <w:rPr>
          <w:rFonts w:hint="eastAsia" w:ascii="宋体" w:hAnsi="宋体"/>
          <w:b/>
          <w:sz w:val="24"/>
        </w:rPr>
      </w:pPr>
      <w:r>
        <w:rPr>
          <w:rFonts w:hint="eastAsia" w:ascii="宋体" w:hAnsi="宋体"/>
          <w:b/>
          <w:sz w:val="24"/>
        </w:rPr>
        <w:t>3．政府采购方式</w:t>
      </w:r>
    </w:p>
    <w:p>
      <w:pPr>
        <w:snapToGrid w:val="0"/>
        <w:spacing w:line="360" w:lineRule="auto"/>
        <w:jc w:val="left"/>
        <w:rPr>
          <w:rFonts w:hint="eastAsia" w:ascii="宋体" w:hAnsi="宋体"/>
          <w:sz w:val="24"/>
        </w:rPr>
      </w:pPr>
      <w:r>
        <w:rPr>
          <w:rFonts w:hint="eastAsia" w:ascii="宋体" w:hAnsi="宋体"/>
          <w:sz w:val="24"/>
        </w:rPr>
        <w:t>3.1 本项目采用</w:t>
      </w:r>
      <w:r>
        <w:rPr>
          <w:rFonts w:hint="eastAsia" w:ascii="宋体" w:hAnsi="宋体"/>
          <w:b/>
          <w:kern w:val="0"/>
          <w:sz w:val="24"/>
        </w:rPr>
        <w:t>竞争性磋商</w:t>
      </w:r>
      <w:r>
        <w:rPr>
          <w:rFonts w:hint="eastAsia" w:ascii="宋体" w:hAnsi="宋体"/>
          <w:sz w:val="24"/>
        </w:rPr>
        <w:t>方式进行。</w:t>
      </w:r>
    </w:p>
    <w:p>
      <w:pPr>
        <w:snapToGrid w:val="0"/>
        <w:spacing w:line="360" w:lineRule="auto"/>
        <w:jc w:val="left"/>
        <w:rPr>
          <w:rFonts w:hint="eastAsia" w:ascii="宋体" w:hAnsi="宋体"/>
          <w:sz w:val="24"/>
        </w:rPr>
      </w:pPr>
      <w:r>
        <w:rPr>
          <w:rFonts w:hint="eastAsia" w:ascii="宋体" w:hAnsi="宋体"/>
          <w:sz w:val="24"/>
        </w:rPr>
        <w:t>3.2 如某一标项实质性响应磋商文件的</w:t>
      </w:r>
      <w:r>
        <w:rPr>
          <w:rFonts w:hint="eastAsia" w:ascii="宋体" w:hAnsi="宋体"/>
          <w:sz w:val="24"/>
          <w:lang w:eastAsia="zh-CN"/>
        </w:rPr>
        <w:t>投标单位</w:t>
      </w:r>
      <w:r>
        <w:rPr>
          <w:rFonts w:hint="eastAsia" w:ascii="宋体" w:hAnsi="宋体"/>
          <w:sz w:val="24"/>
        </w:rPr>
        <w:t>不足三家时，由采购人重新组织开展采购活动或按有关规定实施。</w:t>
      </w:r>
    </w:p>
    <w:p>
      <w:pPr>
        <w:snapToGrid w:val="0"/>
        <w:spacing w:line="360" w:lineRule="auto"/>
        <w:jc w:val="left"/>
        <w:rPr>
          <w:rFonts w:hint="eastAsia" w:ascii="宋体" w:hAnsi="宋体"/>
          <w:sz w:val="24"/>
        </w:rPr>
      </w:pPr>
      <w:r>
        <w:rPr>
          <w:rFonts w:hint="eastAsia" w:ascii="宋体" w:hAnsi="宋体"/>
          <w:sz w:val="24"/>
        </w:rPr>
        <w:t>3.3 本次竞争性磋商设定上限价，上限价即磋商公告中公布的各分标项预算金额。（各分标项之间的预算金额不能互相调整）</w:t>
      </w:r>
    </w:p>
    <w:p>
      <w:pPr>
        <w:snapToGrid w:val="0"/>
        <w:spacing w:line="360" w:lineRule="auto"/>
        <w:jc w:val="left"/>
        <w:rPr>
          <w:rFonts w:hint="eastAsia" w:ascii="宋体" w:hAnsi="宋体"/>
          <w:b/>
          <w:sz w:val="24"/>
        </w:rPr>
      </w:pPr>
      <w:r>
        <w:rPr>
          <w:rFonts w:hint="eastAsia" w:ascii="宋体" w:hAnsi="宋体"/>
          <w:b/>
          <w:sz w:val="24"/>
        </w:rPr>
        <w:t>4. 磋商委托</w:t>
      </w:r>
    </w:p>
    <w:p>
      <w:pPr>
        <w:snapToGrid w:val="0"/>
        <w:spacing w:line="360" w:lineRule="auto"/>
        <w:ind w:firstLine="480" w:firstLineChars="200"/>
        <w:jc w:val="left"/>
        <w:rPr>
          <w:rFonts w:hint="eastAsia" w:ascii="宋体" w:hAnsi="宋体"/>
          <w:sz w:val="24"/>
        </w:rPr>
      </w:pPr>
      <w:r>
        <w:rPr>
          <w:rFonts w:hint="eastAsia" w:ascii="宋体" w:hAnsi="宋体"/>
          <w:sz w:val="24"/>
        </w:rPr>
        <w:t>法定代表人参加磋商的须携带个人身份证明(本人身份证原件或户口本原件或本人驾驶证原件等)。如授权代表参加磋商的，磋商响应文件中则须有法定代表人出具的授权委托书及授权代表的个人身份证明。(本人身份证原件或户口本原件或本人驾驶证原件等)。</w:t>
      </w:r>
    </w:p>
    <w:p>
      <w:pPr>
        <w:snapToGrid w:val="0"/>
        <w:spacing w:line="360" w:lineRule="auto"/>
        <w:jc w:val="left"/>
        <w:rPr>
          <w:rFonts w:hint="eastAsia" w:ascii="宋体" w:hAnsi="宋体"/>
          <w:sz w:val="24"/>
        </w:rPr>
      </w:pPr>
      <w:r>
        <w:rPr>
          <w:rFonts w:hint="eastAsia" w:ascii="宋体" w:hAnsi="宋体"/>
          <w:b/>
          <w:bCs/>
          <w:sz w:val="24"/>
        </w:rPr>
        <w:t>5. 磋商费用</w:t>
      </w:r>
    </w:p>
    <w:p>
      <w:pPr>
        <w:snapToGrid w:val="0"/>
        <w:spacing w:line="360" w:lineRule="auto"/>
        <w:ind w:firstLine="480" w:firstLineChars="200"/>
        <w:jc w:val="left"/>
        <w:rPr>
          <w:rFonts w:hint="eastAsia" w:ascii="宋体" w:hAnsi="宋体"/>
          <w:sz w:val="24"/>
        </w:rPr>
      </w:pPr>
      <w:r>
        <w:rPr>
          <w:rFonts w:hint="eastAsia" w:ascii="宋体" w:hAnsi="宋体"/>
          <w:sz w:val="24"/>
          <w:lang w:eastAsia="zh-CN"/>
        </w:rPr>
        <w:t>投标单位</w:t>
      </w:r>
      <w:r>
        <w:rPr>
          <w:rFonts w:hint="eastAsia" w:ascii="宋体" w:hAnsi="宋体"/>
          <w:sz w:val="24"/>
        </w:rPr>
        <w:t>应自行承担编制磋商响应文件及参加本次磋商所涉及的一切费用。不管磋商结果如何，采购代理机构对上述费用不负任何责任。</w:t>
      </w:r>
    </w:p>
    <w:p>
      <w:pPr>
        <w:pStyle w:val="13"/>
        <w:numPr>
          <w:ilvl w:val="0"/>
          <w:numId w:val="0"/>
        </w:numPr>
        <w:spacing w:after="0" w:afterLines="0" w:line="360" w:lineRule="auto"/>
        <w:ind w:left="282" w:hanging="282" w:hangingChars="117"/>
        <w:rPr>
          <w:rFonts w:hint="eastAsia" w:ascii="宋体" w:hAnsi="宋体"/>
          <w:b/>
        </w:rPr>
      </w:pPr>
      <w:r>
        <w:rPr>
          <w:rFonts w:hint="eastAsia" w:ascii="宋体" w:hAnsi="宋体"/>
          <w:b/>
        </w:rPr>
        <w:t>6. 磋商文件</w:t>
      </w:r>
    </w:p>
    <w:p>
      <w:pPr>
        <w:spacing w:line="360" w:lineRule="auto"/>
        <w:jc w:val="left"/>
        <w:rPr>
          <w:rFonts w:hint="eastAsia" w:ascii="宋体" w:hAnsi="宋体"/>
          <w:sz w:val="24"/>
        </w:rPr>
      </w:pPr>
      <w:r>
        <w:rPr>
          <w:rFonts w:hint="eastAsia" w:ascii="宋体" w:hAnsi="宋体"/>
          <w:sz w:val="24"/>
        </w:rPr>
        <w:t xml:space="preserve">6.1 </w:t>
      </w:r>
      <w:r>
        <w:rPr>
          <w:rFonts w:hint="eastAsia" w:ascii="宋体" w:hAnsi="宋体"/>
          <w:bCs/>
          <w:sz w:val="24"/>
        </w:rPr>
        <w:t>磋商文件包括本磋商文件及所有按6.2所述的磋商答疑记录和6.3发出的补充通知</w:t>
      </w:r>
      <w:r>
        <w:rPr>
          <w:rFonts w:hint="eastAsia" w:ascii="宋体" w:hAnsi="宋体"/>
          <w:sz w:val="24"/>
        </w:rPr>
        <w:t>组成。</w:t>
      </w:r>
    </w:p>
    <w:p>
      <w:pPr>
        <w:snapToGrid w:val="0"/>
        <w:spacing w:line="360" w:lineRule="auto"/>
        <w:jc w:val="left"/>
        <w:rPr>
          <w:rFonts w:hint="eastAsia" w:ascii="宋体" w:hAnsi="宋体"/>
          <w:sz w:val="24"/>
        </w:rPr>
      </w:pPr>
      <w:r>
        <w:rPr>
          <w:rFonts w:hint="eastAsia" w:ascii="宋体" w:hAnsi="宋体"/>
          <w:sz w:val="24"/>
        </w:rPr>
        <w:t xml:space="preserve">6.2磋商文件的澄清 </w:t>
      </w:r>
    </w:p>
    <w:p>
      <w:pPr>
        <w:snapToGrid w:val="0"/>
        <w:spacing w:line="360" w:lineRule="auto"/>
        <w:ind w:firstLine="480" w:firstLineChars="200"/>
        <w:jc w:val="left"/>
        <w:rPr>
          <w:rFonts w:hint="eastAsia" w:ascii="宋体" w:hAnsi="宋体"/>
          <w:sz w:val="24"/>
        </w:rPr>
      </w:pPr>
      <w:r>
        <w:rPr>
          <w:rFonts w:hint="eastAsia" w:ascii="宋体" w:hAnsi="宋体"/>
          <w:sz w:val="24"/>
          <w:lang w:eastAsia="zh-CN"/>
        </w:rPr>
        <w:t>投标单位</w:t>
      </w:r>
      <w:r>
        <w:rPr>
          <w:rFonts w:hint="eastAsia" w:ascii="宋体" w:hAnsi="宋体"/>
          <w:sz w:val="24"/>
        </w:rPr>
        <w:t>对磋商文件如有疑点要求澄清，可用书面形式（包括并不仅限于纸质、信件和数据电文（包括电报、电传、传真、电子数据交换和电子邮件）等可以有形地表现所载内容的形式，下同）通知采购人、采购代理机构，但通知不得迟于磋商截止前2日使采购人、采购代理机构收到，采购人、采购代理机构将用书面形式予以答复。如有必要，可将不说明来源的答复发给所有</w:t>
      </w:r>
      <w:r>
        <w:rPr>
          <w:rFonts w:hint="eastAsia" w:ascii="宋体" w:hAnsi="宋体"/>
          <w:sz w:val="24"/>
          <w:lang w:eastAsia="zh-CN"/>
        </w:rPr>
        <w:t>投标单位</w:t>
      </w:r>
      <w:r>
        <w:rPr>
          <w:rFonts w:hint="eastAsia" w:ascii="宋体" w:hAnsi="宋体"/>
          <w:sz w:val="24"/>
        </w:rPr>
        <w:t>。</w:t>
      </w:r>
    </w:p>
    <w:p>
      <w:pPr>
        <w:snapToGrid w:val="0"/>
        <w:spacing w:line="360" w:lineRule="auto"/>
        <w:jc w:val="left"/>
        <w:rPr>
          <w:rFonts w:hint="eastAsia" w:ascii="宋体" w:hAnsi="宋体"/>
          <w:sz w:val="24"/>
        </w:rPr>
      </w:pPr>
      <w:r>
        <w:rPr>
          <w:rFonts w:hint="eastAsia" w:ascii="宋体" w:hAnsi="宋体"/>
          <w:sz w:val="24"/>
        </w:rPr>
        <w:t>6.3磋商文件的修改</w:t>
      </w:r>
    </w:p>
    <w:p>
      <w:pPr>
        <w:snapToGrid w:val="0"/>
        <w:spacing w:line="360" w:lineRule="auto"/>
        <w:jc w:val="left"/>
        <w:rPr>
          <w:rFonts w:hint="eastAsia" w:ascii="宋体" w:hAnsi="宋体"/>
          <w:sz w:val="24"/>
        </w:rPr>
      </w:pPr>
      <w:r>
        <w:rPr>
          <w:rFonts w:hint="eastAsia" w:ascii="宋体" w:hAnsi="宋体"/>
          <w:sz w:val="24"/>
        </w:rPr>
        <w:t>6.3.1在磋商截止时间前规定时间内，采购人、采购代理机构有权修改磋商文件，以书面形式通知所有</w:t>
      </w:r>
      <w:r>
        <w:rPr>
          <w:rFonts w:hint="eastAsia" w:ascii="宋体" w:hAnsi="宋体"/>
          <w:sz w:val="24"/>
          <w:lang w:eastAsia="zh-CN"/>
        </w:rPr>
        <w:t>投标单位</w:t>
      </w:r>
      <w:r>
        <w:rPr>
          <w:rFonts w:hint="eastAsia" w:ascii="宋体" w:hAnsi="宋体"/>
          <w:sz w:val="24"/>
        </w:rPr>
        <w:t>，通知中没有注明更改磋商截止时间的视为截止时间不变。修改的文件作为磋商文件的补充和组成部分，对所有</w:t>
      </w:r>
      <w:r>
        <w:rPr>
          <w:rFonts w:hint="eastAsia" w:ascii="宋体" w:hAnsi="宋体"/>
          <w:sz w:val="24"/>
          <w:lang w:eastAsia="zh-CN"/>
        </w:rPr>
        <w:t>投标单位</w:t>
      </w:r>
      <w:r>
        <w:rPr>
          <w:rFonts w:hint="eastAsia" w:ascii="宋体" w:hAnsi="宋体"/>
          <w:sz w:val="24"/>
        </w:rPr>
        <w:t>均有约束力。</w:t>
      </w:r>
    </w:p>
    <w:p>
      <w:pPr>
        <w:spacing w:line="360" w:lineRule="auto"/>
        <w:rPr>
          <w:rFonts w:hint="eastAsia" w:ascii="宋体" w:hAnsi="宋体"/>
          <w:sz w:val="24"/>
        </w:rPr>
      </w:pPr>
      <w:r>
        <w:rPr>
          <w:rFonts w:hint="eastAsia" w:ascii="宋体" w:hAnsi="宋体"/>
          <w:sz w:val="24"/>
        </w:rPr>
        <w:t>6.4本项目各标段内，如出现打有“★”的指标为实质性指标，任意一条出现负偏离的均视同为实质性不响应磋商文件要求，作无效标处理。</w:t>
      </w:r>
    </w:p>
    <w:p>
      <w:pPr>
        <w:spacing w:line="360" w:lineRule="auto"/>
        <w:rPr>
          <w:rFonts w:ascii="宋体" w:hAnsi="宋体"/>
          <w:b/>
          <w:sz w:val="24"/>
        </w:rPr>
      </w:pPr>
      <w:r>
        <w:rPr>
          <w:rFonts w:hint="eastAsia" w:ascii="宋体" w:hAnsi="宋体"/>
          <w:b/>
          <w:sz w:val="24"/>
          <w:lang w:val="en-US" w:eastAsia="zh-CN"/>
        </w:rPr>
        <w:t>7</w:t>
      </w:r>
      <w:r>
        <w:rPr>
          <w:rFonts w:hint="eastAsia" w:ascii="宋体" w:hAnsi="宋体"/>
          <w:b/>
          <w:sz w:val="24"/>
        </w:rPr>
        <w:t>.采购项目需要落实的政府采购政策</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.2 节能环保要求</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.2.1</w:t>
      </w:r>
      <w:r>
        <w:rPr>
          <w:rFonts w:ascii="宋体" w:hAnsi="宋体"/>
          <w:sz w:val="24"/>
        </w:rPr>
        <w:t>采购人拟采购的产品属于品目清单范围的，采购人及其委托的采购代理机构</w:t>
      </w:r>
      <w:r>
        <w:rPr>
          <w:rFonts w:hint="eastAsia" w:ascii="宋体" w:hAnsi="宋体"/>
          <w:sz w:val="24"/>
        </w:rPr>
        <w:t>将</w:t>
      </w:r>
      <w:r>
        <w:rPr>
          <w:rFonts w:ascii="宋体" w:hAnsi="宋体"/>
          <w:sz w:val="24"/>
        </w:rPr>
        <w:t>依据国家确定的认证机构出具的、处于有效期之内的节能产品、环境标志产品认证证书，对获得证书的产品实施政府优先采购或强制采购。</w:t>
      </w:r>
      <w:r>
        <w:rPr>
          <w:rFonts w:hint="eastAsia" w:ascii="宋体" w:hAnsi="宋体"/>
          <w:sz w:val="24"/>
        </w:rPr>
        <w:t>投标人须按招标文件要求提供相关产品认证证书。</w:t>
      </w:r>
    </w:p>
    <w:p>
      <w:pPr>
        <w:spacing w:line="360" w:lineRule="auto"/>
        <w:rPr>
          <w:rFonts w:ascii="宋体" w:hAnsi="宋体"/>
          <w:b/>
          <w:sz w:val="24"/>
        </w:rPr>
      </w:pPr>
      <w:r>
        <w:rPr>
          <w:rFonts w:hint="eastAsia" w:ascii="宋体" w:hAnsi="宋体"/>
          <w:sz w:val="24"/>
          <w:lang w:val="en-US" w:eastAsia="zh-CN"/>
        </w:rPr>
        <w:t>7</w:t>
      </w:r>
      <w:r>
        <w:rPr>
          <w:rFonts w:hint="eastAsia" w:ascii="宋体" w:hAnsi="宋体"/>
          <w:sz w:val="24"/>
        </w:rPr>
        <w:t>.2.2</w:t>
      </w:r>
      <w:r>
        <w:rPr>
          <w:rFonts w:ascii="宋体" w:hAnsi="宋体"/>
          <w:b/>
          <w:sz w:val="24"/>
        </w:rPr>
        <w:t>采购人拟采购的产品属于</w:t>
      </w:r>
      <w:r>
        <w:rPr>
          <w:rFonts w:hint="eastAsia" w:ascii="宋体" w:hAnsi="宋体"/>
          <w:b/>
          <w:sz w:val="24"/>
        </w:rPr>
        <w:t>政府强制采购的节能产品品目清单范围的，投标人未按招标文件要求提供国家确定的认证机构出具的、处于有效期之内的节能产品认证证书，投标无效。</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.3</w:t>
      </w:r>
      <w:r>
        <w:rPr>
          <w:rFonts w:hint="eastAsia" w:ascii="宋体" w:hAnsi="宋体"/>
          <w:bCs/>
          <w:sz w:val="24"/>
        </w:rPr>
        <w:t>小型、微型</w:t>
      </w:r>
      <w:r>
        <w:rPr>
          <w:rFonts w:hint="eastAsia" w:ascii="宋体" w:hAnsi="宋体"/>
          <w:sz w:val="24"/>
        </w:rPr>
        <w:t>企业价格扣除。</w:t>
      </w:r>
    </w:p>
    <w:p>
      <w:pPr>
        <w:spacing w:line="360" w:lineRule="auto"/>
        <w:rPr>
          <w:rFonts w:ascii="宋体" w:hAnsi="宋体"/>
          <w:bCs/>
          <w:sz w:val="24"/>
        </w:rPr>
      </w:pPr>
      <w:r>
        <w:rPr>
          <w:rFonts w:hint="eastAsia" w:ascii="宋体" w:hAnsi="宋体"/>
          <w:sz w:val="24"/>
          <w:lang w:val="en-US" w:eastAsia="zh-CN"/>
        </w:rPr>
        <w:t>7</w:t>
      </w:r>
      <w:r>
        <w:rPr>
          <w:rFonts w:hint="eastAsia" w:ascii="宋体" w:hAnsi="宋体"/>
          <w:sz w:val="24"/>
        </w:rPr>
        <w:t>.3.1</w:t>
      </w:r>
      <w:r>
        <w:rPr>
          <w:rFonts w:hint="eastAsia" w:ascii="宋体" w:hAnsi="宋体"/>
          <w:bCs/>
          <w:sz w:val="24"/>
        </w:rPr>
        <w:t>小型、微型企业应当同时符合以下条件：</w:t>
      </w:r>
    </w:p>
    <w:p>
      <w:pPr>
        <w:spacing w:line="360" w:lineRule="auto"/>
        <w:rPr>
          <w:rFonts w:ascii="宋体" w:hAnsi="宋体"/>
          <w:bCs/>
          <w:sz w:val="24"/>
        </w:rPr>
      </w:pPr>
      <w:r>
        <w:rPr>
          <w:rFonts w:hint="eastAsia" w:ascii="宋体" w:hAnsi="宋体"/>
          <w:bCs/>
          <w:sz w:val="24"/>
        </w:rPr>
        <w:t>（1）符合中小企业划分标准；</w:t>
      </w:r>
    </w:p>
    <w:p>
      <w:pPr>
        <w:spacing w:line="360" w:lineRule="auto"/>
        <w:rPr>
          <w:rFonts w:ascii="宋体" w:hAnsi="宋体"/>
          <w:bCs/>
          <w:sz w:val="24"/>
        </w:rPr>
      </w:pPr>
      <w:r>
        <w:rPr>
          <w:rFonts w:hint="eastAsia" w:ascii="宋体" w:hAnsi="宋体"/>
          <w:bCs/>
          <w:sz w:val="24"/>
        </w:rPr>
        <w:t>（2）</w:t>
      </w:r>
      <w:r>
        <w:rPr>
          <w:rFonts w:hint="eastAsia" w:ascii="宋体" w:hAnsi="宋体"/>
          <w:b/>
          <w:bCs/>
          <w:sz w:val="24"/>
        </w:rPr>
        <w:t>提供本企业制造的货物、承担的工程或者服务，或者提供其他小型、微型企业制造的货物。本项所称货物不包括使用大型企业注册商标的货物。小型、微型企业提供中型企业制造的货物的，视同为中型企业。</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.3.2小型、微型企业应按照招标文件格式要求提供《中小企业声明函》。</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.3.3对于非专门面向此类企业的项目，对小型和微型企业产品的投标价格给予6 %的扣除，用扣除后的价格参与评审。</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3.4大中型企业和其他自然人、法人或者其他组织与小型、微型企业与组成联合体共同参加非专门面向中小企业的政府采购活动。联合协议中约定，小型、微型企业的协议合同金额占到联合体协议合同总金额30%以上的，可给予联合体2%的投标价格扣除。</w:t>
      </w:r>
    </w:p>
    <w:p>
      <w:pPr>
        <w:spacing w:line="360" w:lineRule="auto"/>
        <w:ind w:firstLine="480" w:firstLineChars="200"/>
        <w:rPr>
          <w:rFonts w:ascii="宋体" w:hAnsi="宋体"/>
          <w:sz w:val="24"/>
        </w:rPr>
      </w:pPr>
      <w:r>
        <w:rPr>
          <w:rFonts w:hint="eastAsia" w:ascii="宋体" w:hAnsi="宋体"/>
          <w:sz w:val="24"/>
        </w:rPr>
        <w:t>联合体各方均为小型、微型企业的，联合体视同为小型、微型企业。</w:t>
      </w:r>
    </w:p>
    <w:p>
      <w:pPr>
        <w:spacing w:line="360" w:lineRule="auto"/>
        <w:rPr>
          <w:rFonts w:ascii="宋体" w:hAnsi="宋体"/>
          <w:sz w:val="24"/>
        </w:rPr>
      </w:pPr>
      <w:r>
        <w:rPr>
          <w:rFonts w:hint="eastAsia" w:ascii="宋体" w:hAnsi="宋体"/>
          <w:sz w:val="24"/>
          <w:lang w:val="en-US" w:eastAsia="zh-CN"/>
        </w:rPr>
        <w:t>7</w:t>
      </w:r>
      <w:r>
        <w:rPr>
          <w:rFonts w:hint="eastAsia" w:ascii="宋体" w:hAnsi="宋体"/>
          <w:sz w:val="24"/>
        </w:rPr>
        <w:t>.3.5符合《关于促进残疾人就业政府采购政策的通知》（财库〔2017〕141号）规定的条件并提供《残疾人福利性单位声明函》（附件1）的残疾人福利性单位视同小型、微型企业；</w:t>
      </w:r>
    </w:p>
    <w:p>
      <w:pPr>
        <w:snapToGrid w:val="0"/>
        <w:spacing w:line="360" w:lineRule="auto"/>
        <w:jc w:val="left"/>
        <w:rPr>
          <w:rFonts w:hint="eastAsia"/>
        </w:rPr>
      </w:pPr>
      <w:r>
        <w:rPr>
          <w:rFonts w:hint="eastAsia" w:ascii="宋体" w:hAnsi="宋体"/>
          <w:sz w:val="24"/>
          <w:lang w:val="en-US" w:eastAsia="zh-CN"/>
        </w:rPr>
        <w:t>7</w:t>
      </w:r>
      <w:r>
        <w:rPr>
          <w:rFonts w:hint="eastAsia" w:ascii="宋体" w:hAnsi="宋体"/>
          <w:sz w:val="24"/>
        </w:rPr>
        <w:t>.3.6符合《关于政府采购支持监狱企业发展有关问题的通知》（财库[2014]68号）规定的监狱企业并提供由省级以上监狱管理局、戒毒管理局（含新疆生产建设兵团）出具的属于监狱企业证明文件的，视同为小型、微型企业。</w:t>
      </w:r>
    </w:p>
    <w:p>
      <w:pPr>
        <w:snapToGrid w:val="0"/>
        <w:spacing w:line="360" w:lineRule="auto"/>
        <w:jc w:val="center"/>
        <w:rPr>
          <w:rFonts w:hint="eastAsia" w:ascii="宋体" w:hAnsi="宋体"/>
          <w:b/>
          <w:sz w:val="36"/>
          <w:szCs w:val="36"/>
        </w:rPr>
      </w:pPr>
      <w:r>
        <w:rPr>
          <w:rFonts w:hint="eastAsia" w:ascii="宋体" w:hAnsi="宋体"/>
          <w:b/>
          <w:sz w:val="36"/>
          <w:szCs w:val="36"/>
        </w:rPr>
        <w:t>二、磋商响应文件</w:t>
      </w:r>
    </w:p>
    <w:p>
      <w:pPr>
        <w:numPr>
          <w:ilvl w:val="0"/>
          <w:numId w:val="10"/>
        </w:numPr>
        <w:snapToGrid w:val="0"/>
        <w:spacing w:line="360" w:lineRule="auto"/>
        <w:jc w:val="left"/>
        <w:rPr>
          <w:rFonts w:hint="eastAsia" w:ascii="宋体" w:hAnsi="宋体"/>
          <w:b/>
          <w:sz w:val="24"/>
        </w:rPr>
      </w:pPr>
      <w:r>
        <w:rPr>
          <w:rFonts w:hint="eastAsia" w:ascii="宋体" w:hAnsi="宋体"/>
          <w:b/>
          <w:sz w:val="24"/>
        </w:rPr>
        <w:t>磋商响应文件的语言及计量单位</w:t>
      </w:r>
    </w:p>
    <w:p>
      <w:pPr>
        <w:snapToGrid w:val="0"/>
        <w:spacing w:line="360" w:lineRule="auto"/>
        <w:jc w:val="left"/>
        <w:rPr>
          <w:rFonts w:hint="eastAsia" w:ascii="宋体" w:hAnsi="宋体"/>
          <w:sz w:val="24"/>
        </w:rPr>
      </w:pPr>
      <w:r>
        <w:rPr>
          <w:rFonts w:hint="eastAsia" w:ascii="宋体" w:hAnsi="宋体"/>
          <w:sz w:val="24"/>
        </w:rPr>
        <w:t>1.1</w:t>
      </w:r>
      <w:r>
        <w:rPr>
          <w:rFonts w:hint="eastAsia" w:ascii="宋体" w:hAnsi="宋体"/>
          <w:sz w:val="24"/>
          <w:lang w:eastAsia="zh-CN"/>
        </w:rPr>
        <w:t>投标单位</w:t>
      </w:r>
      <w:r>
        <w:rPr>
          <w:rFonts w:hint="eastAsia" w:ascii="宋体" w:hAnsi="宋体"/>
          <w:sz w:val="24"/>
        </w:rPr>
        <w:t>应仔细阅读磋商文件中的所有内容，按照磋商文件要求，详细编制磋商响应文件，并保证磋商响应文件的正确性和真实性。</w:t>
      </w:r>
    </w:p>
    <w:p>
      <w:pPr>
        <w:snapToGrid w:val="0"/>
        <w:spacing w:line="360" w:lineRule="auto"/>
        <w:jc w:val="left"/>
        <w:rPr>
          <w:rFonts w:hint="eastAsia" w:ascii="宋体" w:hAnsi="宋体"/>
          <w:sz w:val="24"/>
        </w:rPr>
      </w:pPr>
      <w:r>
        <w:rPr>
          <w:rFonts w:hint="eastAsia" w:ascii="宋体" w:hAnsi="宋体"/>
          <w:sz w:val="24"/>
        </w:rPr>
        <w:t>1.2 磋商响应文件以及</w:t>
      </w:r>
      <w:r>
        <w:rPr>
          <w:rFonts w:hint="eastAsia" w:ascii="宋体" w:hAnsi="宋体"/>
          <w:sz w:val="24"/>
          <w:lang w:eastAsia="zh-CN"/>
        </w:rPr>
        <w:t>投标单位</w:t>
      </w:r>
      <w:r>
        <w:rPr>
          <w:rFonts w:hint="eastAsia" w:ascii="宋体" w:hAnsi="宋体"/>
          <w:sz w:val="24"/>
        </w:rPr>
        <w:t>与采购人、采购代理机构就有关磋商事宜的所有来往函电，均应以中文书写（技术术语除外）。</w:t>
      </w:r>
    </w:p>
    <w:p>
      <w:pPr>
        <w:snapToGrid w:val="0"/>
        <w:spacing w:line="360" w:lineRule="auto"/>
        <w:jc w:val="left"/>
        <w:rPr>
          <w:rFonts w:hint="eastAsia" w:ascii="宋体" w:hAnsi="宋体"/>
          <w:sz w:val="24"/>
        </w:rPr>
      </w:pPr>
      <w:r>
        <w:rPr>
          <w:rFonts w:hint="eastAsia" w:ascii="宋体" w:hAnsi="宋体"/>
          <w:sz w:val="24"/>
        </w:rPr>
        <w:t>1.3 磋商计量单位，除磋商文件中有特殊要求外，应采用中华人民共和国法定计量单位，货币单位：人民币元。</w:t>
      </w:r>
    </w:p>
    <w:p>
      <w:pPr>
        <w:snapToGrid w:val="0"/>
        <w:spacing w:line="360" w:lineRule="auto"/>
        <w:jc w:val="left"/>
        <w:rPr>
          <w:rFonts w:hint="eastAsia" w:ascii="宋体" w:hAnsi="宋体"/>
          <w:sz w:val="24"/>
        </w:rPr>
      </w:pPr>
      <w:r>
        <w:rPr>
          <w:rFonts w:hint="eastAsia" w:ascii="宋体" w:hAnsi="宋体"/>
          <w:sz w:val="24"/>
        </w:rPr>
        <w:t>1.4不按磋商文件的要求提供的磋商响应文件可能导致被拒绝。</w:t>
      </w:r>
    </w:p>
    <w:p>
      <w:pPr>
        <w:snapToGrid w:val="0"/>
        <w:spacing w:line="360" w:lineRule="auto"/>
        <w:jc w:val="left"/>
        <w:rPr>
          <w:rFonts w:hint="eastAsia" w:ascii="宋体" w:hAnsi="宋体"/>
          <w:b/>
          <w:sz w:val="24"/>
        </w:rPr>
      </w:pPr>
      <w:r>
        <w:rPr>
          <w:rFonts w:hint="eastAsia" w:ascii="宋体" w:hAnsi="宋体"/>
          <w:b/>
          <w:sz w:val="24"/>
        </w:rPr>
        <w:t>2. 磋商响应文件的组成</w:t>
      </w:r>
    </w:p>
    <w:p>
      <w:pPr>
        <w:snapToGrid w:val="0"/>
        <w:spacing w:line="360" w:lineRule="auto"/>
        <w:ind w:firstLine="480" w:firstLineChars="200"/>
        <w:jc w:val="left"/>
        <w:rPr>
          <w:rFonts w:hint="eastAsia" w:ascii="宋体" w:hAnsi="宋体"/>
          <w:sz w:val="24"/>
        </w:rPr>
      </w:pPr>
      <w:r>
        <w:rPr>
          <w:rFonts w:hint="eastAsia" w:ascii="宋体" w:hAnsi="宋体"/>
          <w:sz w:val="24"/>
        </w:rPr>
        <w:t>磋商响应文件由“商务文件资料”和“技术文件资料”二部分文件组成：</w:t>
      </w:r>
    </w:p>
    <w:p>
      <w:pPr>
        <w:snapToGrid w:val="0"/>
        <w:spacing w:line="360" w:lineRule="auto"/>
        <w:jc w:val="left"/>
        <w:rPr>
          <w:rFonts w:hint="eastAsia" w:ascii="宋体" w:hAnsi="宋体"/>
          <w:sz w:val="24"/>
        </w:rPr>
      </w:pPr>
      <w:r>
        <w:rPr>
          <w:rFonts w:hint="eastAsia" w:ascii="宋体" w:hAnsi="宋体"/>
          <w:sz w:val="24"/>
        </w:rPr>
        <w:t>2.1 “商务文件资料”应至少包含以下内容：</w:t>
      </w:r>
    </w:p>
    <w:p>
      <w:pPr>
        <w:snapToGrid w:val="0"/>
        <w:spacing w:line="360" w:lineRule="auto"/>
        <w:jc w:val="left"/>
        <w:rPr>
          <w:rFonts w:hint="eastAsia" w:ascii="宋体" w:hAnsi="宋体"/>
          <w:sz w:val="24"/>
        </w:rPr>
      </w:pPr>
      <w:r>
        <w:rPr>
          <w:rFonts w:hint="eastAsia" w:ascii="宋体" w:hAnsi="宋体"/>
          <w:sz w:val="24"/>
        </w:rPr>
        <w:t xml:space="preserve">2.1.1磋商响应函（格式见第六部分附件）； </w:t>
      </w:r>
    </w:p>
    <w:p>
      <w:pPr>
        <w:snapToGrid w:val="0"/>
        <w:spacing w:line="360" w:lineRule="auto"/>
        <w:jc w:val="left"/>
        <w:rPr>
          <w:rFonts w:hint="eastAsia" w:ascii="宋体" w:hAnsi="宋体"/>
          <w:sz w:val="24"/>
        </w:rPr>
      </w:pPr>
      <w:r>
        <w:rPr>
          <w:rFonts w:hint="eastAsia" w:ascii="宋体" w:hAnsi="宋体"/>
          <w:sz w:val="24"/>
        </w:rPr>
        <w:t>2.1.2报价一览表（格式见第六部分附件）；</w:t>
      </w:r>
    </w:p>
    <w:p>
      <w:pPr>
        <w:snapToGrid w:val="0"/>
        <w:spacing w:line="360" w:lineRule="auto"/>
        <w:jc w:val="left"/>
        <w:rPr>
          <w:rFonts w:hint="eastAsia" w:ascii="宋体" w:hAnsi="宋体"/>
          <w:sz w:val="24"/>
        </w:rPr>
      </w:pPr>
      <w:r>
        <w:rPr>
          <w:rFonts w:hint="eastAsia" w:ascii="宋体" w:hAnsi="宋体"/>
          <w:sz w:val="24"/>
        </w:rPr>
        <w:t>2.1.3报价明细表（格式见第六部分附件）；</w:t>
      </w:r>
    </w:p>
    <w:p>
      <w:pPr>
        <w:snapToGrid w:val="0"/>
        <w:spacing w:line="360" w:lineRule="auto"/>
        <w:jc w:val="left"/>
        <w:rPr>
          <w:rFonts w:hint="eastAsia" w:ascii="宋体" w:hAnsi="宋体"/>
          <w:sz w:val="24"/>
        </w:rPr>
      </w:pPr>
      <w:r>
        <w:rPr>
          <w:rFonts w:hint="eastAsia" w:ascii="宋体" w:hAnsi="宋体"/>
          <w:sz w:val="24"/>
        </w:rPr>
        <w:t>2.1.</w:t>
      </w:r>
      <w:r>
        <w:rPr>
          <w:rFonts w:hint="eastAsia" w:ascii="宋体" w:hAnsi="宋体"/>
          <w:sz w:val="24"/>
          <w:lang w:val="en-US" w:eastAsia="zh-CN"/>
        </w:rPr>
        <w:t>4</w:t>
      </w:r>
      <w:r>
        <w:rPr>
          <w:rFonts w:hint="eastAsia" w:ascii="宋体" w:hAnsi="宋体"/>
          <w:sz w:val="24"/>
        </w:rPr>
        <w:t>中小企业声明函（如有，格式见第六部分附件）；</w:t>
      </w:r>
    </w:p>
    <w:p>
      <w:pPr>
        <w:snapToGrid w:val="0"/>
        <w:spacing w:line="360" w:lineRule="auto"/>
        <w:jc w:val="left"/>
        <w:rPr>
          <w:rFonts w:hint="eastAsia" w:ascii="宋体" w:hAnsi="宋体"/>
          <w:sz w:val="24"/>
        </w:rPr>
      </w:pPr>
      <w:r>
        <w:rPr>
          <w:rFonts w:hint="eastAsia" w:ascii="宋体" w:hAnsi="宋体"/>
          <w:sz w:val="24"/>
        </w:rPr>
        <w:t>2.1.</w:t>
      </w:r>
      <w:r>
        <w:rPr>
          <w:rFonts w:hint="eastAsia" w:ascii="宋体" w:hAnsi="宋体"/>
          <w:sz w:val="24"/>
          <w:lang w:val="en-US" w:eastAsia="zh-CN"/>
        </w:rPr>
        <w:t>5</w:t>
      </w:r>
      <w:r>
        <w:rPr>
          <w:rFonts w:hint="eastAsia" w:ascii="宋体" w:hAnsi="宋体"/>
          <w:sz w:val="24"/>
        </w:rPr>
        <w:t>残疾人福利性单位声明函（如有，格式见第六部分附件）；</w:t>
      </w:r>
    </w:p>
    <w:p>
      <w:pPr>
        <w:snapToGrid w:val="0"/>
        <w:spacing w:line="360" w:lineRule="auto"/>
        <w:ind w:firstLine="480" w:firstLineChars="200"/>
        <w:jc w:val="left"/>
        <w:rPr>
          <w:rFonts w:hint="eastAsia" w:ascii="宋体" w:hAnsi="宋体"/>
          <w:sz w:val="24"/>
        </w:rPr>
      </w:pPr>
      <w:r>
        <w:rPr>
          <w:rFonts w:hint="eastAsia" w:ascii="宋体" w:hAnsi="宋体"/>
          <w:sz w:val="24"/>
        </w:rPr>
        <w:t>以上文件组成“商务文件资料”。</w:t>
      </w:r>
      <w:r>
        <w:rPr>
          <w:rFonts w:hint="eastAsia" w:ascii="宋体" w:hAnsi="宋体"/>
          <w:sz w:val="24"/>
          <w:lang w:eastAsia="zh-CN"/>
        </w:rPr>
        <w:t>投标单位</w:t>
      </w:r>
      <w:r>
        <w:rPr>
          <w:rFonts w:hint="eastAsia" w:ascii="宋体" w:hAnsi="宋体"/>
          <w:sz w:val="24"/>
        </w:rPr>
        <w:t>在“商务文件资料”中应对磋商文件作实质性响应，该项内容将作为磋商重要指标。</w:t>
      </w:r>
    </w:p>
    <w:p>
      <w:pPr>
        <w:snapToGrid w:val="0"/>
        <w:spacing w:line="360" w:lineRule="auto"/>
        <w:jc w:val="left"/>
        <w:rPr>
          <w:rFonts w:hint="eastAsia" w:ascii="宋体" w:hAnsi="宋体"/>
          <w:sz w:val="24"/>
        </w:rPr>
      </w:pPr>
      <w:r>
        <w:rPr>
          <w:rFonts w:hint="eastAsia" w:ascii="宋体" w:hAnsi="宋体"/>
          <w:sz w:val="24"/>
        </w:rPr>
        <w:t>2.2 “技术文件资料”至少应包括以下内容：</w:t>
      </w:r>
    </w:p>
    <w:p>
      <w:pPr>
        <w:snapToGrid w:val="0"/>
        <w:spacing w:line="360" w:lineRule="auto"/>
        <w:jc w:val="left"/>
        <w:rPr>
          <w:rFonts w:hint="eastAsia" w:ascii="宋体" w:hAnsi="宋体"/>
          <w:sz w:val="24"/>
        </w:rPr>
      </w:pPr>
      <w:r>
        <w:rPr>
          <w:rFonts w:hint="eastAsia" w:ascii="宋体" w:hAnsi="宋体"/>
          <w:sz w:val="24"/>
        </w:rPr>
        <w:t>2.2.1法定代表人授权委托书(个体工商户不需要提供，但经营者必须本人参加磋商，格式见第六部分附件)；</w:t>
      </w:r>
    </w:p>
    <w:p>
      <w:pPr>
        <w:snapToGrid w:val="0"/>
        <w:spacing w:line="360" w:lineRule="auto"/>
        <w:jc w:val="left"/>
        <w:rPr>
          <w:rFonts w:hint="eastAsia" w:ascii="宋体" w:hAnsi="宋体"/>
          <w:sz w:val="24"/>
        </w:rPr>
      </w:pPr>
      <w:r>
        <w:rPr>
          <w:rFonts w:hint="eastAsia" w:ascii="宋体" w:hAnsi="宋体"/>
          <w:sz w:val="24"/>
        </w:rPr>
        <w:t>2.2.2法定代表人身份证明（格式见第六部分附件）</w:t>
      </w:r>
    </w:p>
    <w:p>
      <w:pPr>
        <w:snapToGrid w:val="0"/>
        <w:spacing w:line="360" w:lineRule="auto"/>
        <w:jc w:val="left"/>
        <w:rPr>
          <w:rFonts w:hint="eastAsia" w:ascii="宋体" w:hAnsi="宋体"/>
          <w:sz w:val="24"/>
        </w:rPr>
      </w:pPr>
      <w:r>
        <w:rPr>
          <w:rFonts w:hint="eastAsia" w:ascii="宋体" w:hAnsi="宋体"/>
          <w:sz w:val="24"/>
        </w:rPr>
        <w:t>2.2.3 企业法人营业执照和相关证书复印件（加盖单位公章）；</w:t>
      </w:r>
    </w:p>
    <w:p>
      <w:pPr>
        <w:tabs>
          <w:tab w:val="left" w:pos="3870"/>
          <w:tab w:val="left" w:pos="4085"/>
        </w:tabs>
        <w:snapToGrid w:val="0"/>
        <w:spacing w:line="360" w:lineRule="auto"/>
        <w:jc w:val="left"/>
        <w:rPr>
          <w:rFonts w:hint="eastAsia" w:ascii="宋体" w:hAnsi="宋体"/>
          <w:sz w:val="24"/>
        </w:rPr>
      </w:pPr>
      <w:r>
        <w:rPr>
          <w:rFonts w:hint="eastAsia" w:ascii="宋体" w:hAnsi="宋体"/>
          <w:sz w:val="24"/>
        </w:rPr>
        <w:t>2.2.4详细的磋商响应方案（包括对本项目理解分析、具体的工作目标和内容及进度安排、质量控制措施等具体内容）；</w:t>
      </w:r>
    </w:p>
    <w:p>
      <w:pPr>
        <w:tabs>
          <w:tab w:val="left" w:pos="3870"/>
          <w:tab w:val="left" w:pos="4085"/>
        </w:tabs>
        <w:snapToGrid w:val="0"/>
        <w:spacing w:line="360" w:lineRule="auto"/>
        <w:jc w:val="left"/>
        <w:rPr>
          <w:rFonts w:hint="eastAsia" w:ascii="宋体" w:hAnsi="宋体"/>
          <w:sz w:val="24"/>
        </w:rPr>
      </w:pPr>
      <w:r>
        <w:rPr>
          <w:rFonts w:hint="eastAsia" w:ascii="宋体" w:hAnsi="宋体"/>
          <w:sz w:val="24"/>
        </w:rPr>
        <w:t>2.2.5技术偏离表（格式见第六部分附件）；</w:t>
      </w:r>
    </w:p>
    <w:p>
      <w:pPr>
        <w:tabs>
          <w:tab w:val="left" w:pos="3870"/>
          <w:tab w:val="left" w:pos="4085"/>
        </w:tabs>
        <w:snapToGrid w:val="0"/>
        <w:spacing w:line="360" w:lineRule="auto"/>
        <w:jc w:val="left"/>
        <w:rPr>
          <w:rFonts w:hint="eastAsia" w:ascii="宋体" w:hAnsi="宋体"/>
          <w:sz w:val="24"/>
        </w:rPr>
      </w:pPr>
      <w:r>
        <w:rPr>
          <w:rFonts w:hint="eastAsia" w:ascii="宋体" w:hAnsi="宋体"/>
          <w:sz w:val="24"/>
        </w:rPr>
        <w:t>2.2.6优惠条件：</w:t>
      </w:r>
      <w:r>
        <w:rPr>
          <w:rFonts w:hint="eastAsia" w:ascii="宋体" w:hAnsi="宋体"/>
          <w:sz w:val="24"/>
          <w:lang w:eastAsia="zh-CN"/>
        </w:rPr>
        <w:t>投标单位</w:t>
      </w:r>
      <w:r>
        <w:rPr>
          <w:rFonts w:hint="eastAsia" w:ascii="宋体" w:hAnsi="宋体"/>
          <w:sz w:val="24"/>
        </w:rPr>
        <w:t xml:space="preserve">承诺给予采购人的各种优惠条件，包括付款条件、技术服务、售后服务等方面的优惠； </w:t>
      </w:r>
    </w:p>
    <w:p>
      <w:pPr>
        <w:widowControl/>
        <w:snapToGrid w:val="0"/>
        <w:spacing w:line="360" w:lineRule="auto"/>
        <w:jc w:val="left"/>
        <w:rPr>
          <w:rFonts w:hint="eastAsia" w:ascii="宋体" w:hAnsi="宋体"/>
          <w:sz w:val="24"/>
        </w:rPr>
      </w:pPr>
      <w:r>
        <w:rPr>
          <w:rFonts w:hint="eastAsia" w:ascii="宋体" w:hAnsi="宋体"/>
          <w:sz w:val="24"/>
        </w:rPr>
        <w:t>2.2.7磋商响应承诺书(格式见第六部分附件)；</w:t>
      </w:r>
    </w:p>
    <w:p>
      <w:pPr>
        <w:widowControl/>
        <w:snapToGrid w:val="0"/>
        <w:spacing w:line="360" w:lineRule="auto"/>
        <w:jc w:val="left"/>
        <w:rPr>
          <w:rFonts w:hint="eastAsia" w:ascii="宋体" w:hAnsi="宋体" w:cs="Arial"/>
          <w:sz w:val="24"/>
        </w:rPr>
      </w:pPr>
      <w:r>
        <w:rPr>
          <w:rFonts w:hint="eastAsia" w:ascii="宋体" w:hAnsi="宋体"/>
          <w:sz w:val="24"/>
        </w:rPr>
        <w:t>2.2.8</w:t>
      </w:r>
      <w:r>
        <w:rPr>
          <w:rFonts w:hint="eastAsia" w:ascii="宋体" w:hAnsi="宋体"/>
          <w:sz w:val="24"/>
          <w:lang w:eastAsia="zh-CN"/>
        </w:rPr>
        <w:t>投标单位</w:t>
      </w:r>
      <w:r>
        <w:rPr>
          <w:rFonts w:hint="eastAsia" w:ascii="宋体" w:hAnsi="宋体" w:cs="仿宋_GB2312"/>
          <w:sz w:val="24"/>
        </w:rPr>
        <w:t>承接过的同类项目业绩</w:t>
      </w:r>
      <w:r>
        <w:rPr>
          <w:rFonts w:hint="eastAsia" w:ascii="宋体" w:hAnsi="宋体" w:cs="Arial"/>
          <w:sz w:val="24"/>
        </w:rPr>
        <w:t>，提供合同复印件；</w:t>
      </w:r>
    </w:p>
    <w:p>
      <w:pPr>
        <w:widowControl/>
        <w:snapToGrid w:val="0"/>
        <w:spacing w:line="360" w:lineRule="auto"/>
        <w:jc w:val="left"/>
        <w:rPr>
          <w:rFonts w:hint="eastAsia" w:ascii="宋体" w:hAnsi="宋体" w:eastAsia="宋体"/>
          <w:sz w:val="24"/>
          <w:lang w:eastAsia="zh-CN"/>
        </w:rPr>
      </w:pPr>
      <w:r>
        <w:rPr>
          <w:rFonts w:hint="eastAsia" w:ascii="宋体" w:hAnsi="宋体"/>
          <w:sz w:val="24"/>
        </w:rPr>
        <w:t>2.2.9项目</w:t>
      </w:r>
      <w:r>
        <w:rPr>
          <w:rFonts w:hint="eastAsia" w:ascii="宋体" w:hAnsi="宋体"/>
          <w:sz w:val="24"/>
          <w:lang w:eastAsia="zh-CN"/>
        </w:rPr>
        <w:t>人员配备表</w:t>
      </w:r>
    </w:p>
    <w:p>
      <w:pPr>
        <w:widowControl/>
        <w:snapToGrid w:val="0"/>
        <w:spacing w:line="360" w:lineRule="auto"/>
        <w:jc w:val="left"/>
        <w:rPr>
          <w:rFonts w:hint="eastAsia" w:ascii="宋体" w:hAnsi="宋体"/>
          <w:sz w:val="24"/>
        </w:rPr>
      </w:pPr>
      <w:r>
        <w:rPr>
          <w:rFonts w:hint="eastAsia" w:ascii="宋体" w:hAnsi="宋体"/>
          <w:sz w:val="24"/>
        </w:rPr>
        <w:t>2.2.1</w:t>
      </w:r>
      <w:r>
        <w:rPr>
          <w:rFonts w:hint="eastAsia" w:ascii="宋体" w:hAnsi="宋体"/>
          <w:sz w:val="24"/>
          <w:lang w:val="en-US" w:eastAsia="zh-CN"/>
        </w:rPr>
        <w:t>1</w:t>
      </w:r>
      <w:r>
        <w:rPr>
          <w:rFonts w:hint="eastAsia" w:ascii="宋体" w:hAnsi="宋体"/>
          <w:sz w:val="24"/>
        </w:rPr>
        <w:t>磋商文件磋商方法中涉及的需提供的资料、材料。</w:t>
      </w:r>
      <w:r>
        <w:rPr>
          <w:rFonts w:hint="eastAsia" w:ascii="宋体" w:hAnsi="宋体"/>
          <w:sz w:val="24"/>
          <w:u w:val="wave"/>
        </w:rPr>
        <w:t xml:space="preserve"> (请各</w:t>
      </w:r>
      <w:r>
        <w:rPr>
          <w:rFonts w:hint="eastAsia" w:ascii="宋体" w:hAnsi="宋体"/>
          <w:sz w:val="24"/>
          <w:u w:val="wave"/>
          <w:lang w:eastAsia="zh-CN"/>
        </w:rPr>
        <w:t>投标单位</w:t>
      </w:r>
      <w:r>
        <w:rPr>
          <w:rFonts w:hint="eastAsia" w:ascii="宋体" w:hAnsi="宋体"/>
          <w:sz w:val="24"/>
          <w:u w:val="wave"/>
        </w:rPr>
        <w:t>按评分细则技术部份制作。重要！)</w:t>
      </w:r>
      <w:r>
        <w:rPr>
          <w:rFonts w:hint="eastAsia" w:ascii="宋体" w:hAnsi="宋体"/>
          <w:sz w:val="24"/>
        </w:rPr>
        <w:t>；</w:t>
      </w:r>
    </w:p>
    <w:p>
      <w:pPr>
        <w:snapToGrid w:val="0"/>
        <w:spacing w:line="360" w:lineRule="auto"/>
        <w:jc w:val="left"/>
        <w:rPr>
          <w:rFonts w:hint="eastAsia" w:ascii="宋体" w:hAnsi="宋体"/>
          <w:b/>
          <w:sz w:val="24"/>
        </w:rPr>
      </w:pPr>
      <w:r>
        <w:rPr>
          <w:rFonts w:hint="eastAsia" w:ascii="宋体" w:hAnsi="宋体"/>
          <w:sz w:val="24"/>
        </w:rPr>
        <w:t>2.2.12</w:t>
      </w:r>
      <w:r>
        <w:rPr>
          <w:rFonts w:hint="eastAsia" w:ascii="宋体" w:hAnsi="宋体"/>
          <w:sz w:val="24"/>
          <w:lang w:eastAsia="zh-CN"/>
        </w:rPr>
        <w:t>投标单位</w:t>
      </w:r>
      <w:r>
        <w:rPr>
          <w:rFonts w:hint="eastAsia" w:ascii="宋体" w:hAnsi="宋体"/>
          <w:sz w:val="24"/>
        </w:rPr>
        <w:t>认为需要说明的其他文件和说明（格式自拟）。</w:t>
      </w:r>
    </w:p>
    <w:p>
      <w:pPr>
        <w:tabs>
          <w:tab w:val="left" w:pos="3870"/>
          <w:tab w:val="left" w:pos="4085"/>
        </w:tabs>
        <w:snapToGrid w:val="0"/>
        <w:spacing w:line="360" w:lineRule="auto"/>
        <w:ind w:firstLine="480" w:firstLineChars="200"/>
        <w:jc w:val="left"/>
        <w:rPr>
          <w:rFonts w:hint="eastAsia" w:ascii="宋体" w:hAnsi="宋体"/>
          <w:sz w:val="24"/>
        </w:rPr>
      </w:pPr>
      <w:r>
        <w:rPr>
          <w:rFonts w:hint="eastAsia" w:ascii="宋体" w:hAnsi="宋体"/>
          <w:sz w:val="24"/>
        </w:rPr>
        <w:t>以上文件组成“技术文件资料”。</w:t>
      </w:r>
      <w:r>
        <w:rPr>
          <w:rFonts w:hint="eastAsia" w:ascii="宋体" w:hAnsi="宋体"/>
          <w:sz w:val="24"/>
          <w:lang w:eastAsia="zh-CN"/>
        </w:rPr>
        <w:t>投标单位</w:t>
      </w:r>
      <w:r>
        <w:rPr>
          <w:rFonts w:hint="eastAsia" w:ascii="宋体" w:hAnsi="宋体"/>
          <w:sz w:val="24"/>
        </w:rPr>
        <w:t>在“技术文件资料”中应对磋商文件作实质性响应，该项内容将作为磋商重要指标。不按磋商文件的要求提供的磋商响应文件和资料将视为没有对磋商文件作实质性响应，可能导致该磋商响应文件被拒绝，其风险应由</w:t>
      </w:r>
      <w:r>
        <w:rPr>
          <w:rFonts w:hint="eastAsia" w:ascii="宋体" w:hAnsi="宋体"/>
          <w:sz w:val="24"/>
          <w:lang w:eastAsia="zh-CN"/>
        </w:rPr>
        <w:t>投标单位</w:t>
      </w:r>
      <w:r>
        <w:rPr>
          <w:rFonts w:hint="eastAsia" w:ascii="宋体" w:hAnsi="宋体"/>
          <w:sz w:val="24"/>
        </w:rPr>
        <w:t>自行承担。</w:t>
      </w:r>
    </w:p>
    <w:p>
      <w:pPr>
        <w:tabs>
          <w:tab w:val="left" w:pos="3870"/>
        </w:tabs>
        <w:snapToGrid w:val="0"/>
        <w:spacing w:line="360" w:lineRule="auto"/>
        <w:jc w:val="left"/>
        <w:rPr>
          <w:rFonts w:hint="eastAsia" w:ascii="宋体" w:hAnsi="宋体"/>
          <w:b/>
          <w:sz w:val="24"/>
        </w:rPr>
      </w:pPr>
      <w:r>
        <w:rPr>
          <w:rFonts w:hint="eastAsia" w:ascii="宋体" w:hAnsi="宋体"/>
          <w:b/>
          <w:sz w:val="24"/>
        </w:rPr>
        <w:t>注：复印件应加盖</w:t>
      </w:r>
      <w:r>
        <w:rPr>
          <w:rFonts w:hint="eastAsia" w:ascii="宋体" w:hAnsi="宋体"/>
          <w:b/>
          <w:sz w:val="24"/>
          <w:lang w:eastAsia="zh-CN"/>
        </w:rPr>
        <w:t>投标单位</w:t>
      </w:r>
      <w:r>
        <w:rPr>
          <w:rFonts w:hint="eastAsia" w:ascii="宋体" w:hAnsi="宋体"/>
          <w:b/>
          <w:sz w:val="24"/>
        </w:rPr>
        <w:t>公章</w:t>
      </w:r>
    </w:p>
    <w:p>
      <w:pPr>
        <w:spacing w:line="360" w:lineRule="auto"/>
        <w:jc w:val="left"/>
        <w:rPr>
          <w:rFonts w:hint="eastAsia" w:ascii="宋体" w:hAnsi="宋体"/>
          <w:b/>
          <w:sz w:val="24"/>
        </w:rPr>
      </w:pPr>
      <w:r>
        <w:rPr>
          <w:rFonts w:hint="eastAsia" w:ascii="宋体" w:hAnsi="宋体"/>
          <w:b/>
          <w:sz w:val="24"/>
        </w:rPr>
        <w:t>3.报价</w:t>
      </w:r>
    </w:p>
    <w:p>
      <w:pPr>
        <w:pStyle w:val="21"/>
        <w:spacing w:line="360" w:lineRule="auto"/>
        <w:jc w:val="left"/>
        <w:rPr>
          <w:rFonts w:hint="eastAsia" w:hAnsi="宋体"/>
          <w:sz w:val="24"/>
        </w:rPr>
      </w:pPr>
      <w:r>
        <w:rPr>
          <w:rFonts w:hint="eastAsia" w:hAnsi="宋体"/>
          <w:sz w:val="24"/>
        </w:rPr>
        <w:t>3.1应按磋商文件中《报价一览表》、《报价明细表》等附表要求填写。</w:t>
      </w:r>
    </w:p>
    <w:p>
      <w:pPr>
        <w:pStyle w:val="21"/>
        <w:spacing w:line="360" w:lineRule="auto"/>
        <w:jc w:val="left"/>
        <w:rPr>
          <w:rFonts w:hint="eastAsia" w:hAnsi="宋体"/>
          <w:sz w:val="24"/>
          <w:szCs w:val="24"/>
        </w:rPr>
      </w:pPr>
      <w:r>
        <w:rPr>
          <w:rFonts w:hint="eastAsia" w:hAnsi="宋体"/>
          <w:sz w:val="24"/>
          <w:szCs w:val="24"/>
        </w:rPr>
        <w:t>3.2报价为采购人可以合格</w:t>
      </w:r>
      <w:r>
        <w:rPr>
          <w:rFonts w:hint="eastAsia" w:hAnsi="宋体"/>
          <w:sz w:val="24"/>
          <w:szCs w:val="24"/>
          <w:lang w:eastAsia="zh-CN"/>
        </w:rPr>
        <w:t>享有服务的</w:t>
      </w:r>
      <w:r>
        <w:rPr>
          <w:rFonts w:hint="eastAsia" w:hAnsi="宋体"/>
          <w:sz w:val="24"/>
          <w:szCs w:val="24"/>
        </w:rPr>
        <w:t>价格</w:t>
      </w:r>
      <w:r>
        <w:rPr>
          <w:rFonts w:hint="eastAsia" w:hAnsi="宋体"/>
          <w:color w:val="auto"/>
          <w:sz w:val="24"/>
          <w:szCs w:val="24"/>
        </w:rPr>
        <w:t>，</w:t>
      </w:r>
      <w:r>
        <w:rPr>
          <w:rFonts w:hAnsi="宋体"/>
          <w:color w:val="auto"/>
          <w:sz w:val="24"/>
        </w:rPr>
        <w:t>包括</w:t>
      </w:r>
      <w:r>
        <w:rPr>
          <w:rFonts w:hint="eastAsia" w:hAnsi="宋体"/>
          <w:color w:val="auto"/>
          <w:sz w:val="24"/>
          <w:lang w:eastAsia="zh-CN"/>
        </w:rPr>
        <w:t>工资</w:t>
      </w:r>
      <w:r>
        <w:rPr>
          <w:rFonts w:hint="eastAsia" w:hAnsi="宋体"/>
          <w:color w:val="auto"/>
          <w:sz w:val="24"/>
        </w:rPr>
        <w:t>、</w:t>
      </w:r>
      <w:r>
        <w:rPr>
          <w:rFonts w:hint="eastAsia" w:hAnsi="宋体"/>
          <w:color w:val="auto"/>
          <w:sz w:val="24"/>
          <w:lang w:eastAsia="zh-CN"/>
        </w:rPr>
        <w:t>保险金</w:t>
      </w:r>
      <w:r>
        <w:rPr>
          <w:rFonts w:hint="eastAsia" w:hAnsi="宋体"/>
          <w:color w:val="auto"/>
          <w:sz w:val="24"/>
        </w:rPr>
        <w:t>、</w:t>
      </w:r>
      <w:r>
        <w:rPr>
          <w:rFonts w:hint="eastAsia" w:hAnsi="宋体"/>
          <w:color w:val="auto"/>
          <w:sz w:val="24"/>
          <w:lang w:eastAsia="zh-CN"/>
        </w:rPr>
        <w:t>加班补贴费</w:t>
      </w:r>
      <w:r>
        <w:rPr>
          <w:rFonts w:hAnsi="宋体"/>
          <w:color w:val="auto"/>
          <w:sz w:val="24"/>
        </w:rPr>
        <w:t>、</w:t>
      </w:r>
      <w:r>
        <w:rPr>
          <w:rFonts w:hint="eastAsia" w:hAnsi="宋体"/>
          <w:color w:val="auto"/>
          <w:sz w:val="24"/>
          <w:lang w:eastAsia="zh-CN"/>
        </w:rPr>
        <w:t>员工福利</w:t>
      </w:r>
      <w:r>
        <w:rPr>
          <w:rFonts w:hint="eastAsia" w:hAnsi="宋体"/>
          <w:color w:val="auto"/>
          <w:sz w:val="24"/>
        </w:rPr>
        <w:t>费、</w:t>
      </w:r>
      <w:r>
        <w:rPr>
          <w:rFonts w:hAnsi="宋体"/>
          <w:color w:val="auto"/>
          <w:sz w:val="24"/>
        </w:rPr>
        <w:t>税</w:t>
      </w:r>
      <w:r>
        <w:rPr>
          <w:rFonts w:hint="eastAsia" w:hAnsi="宋体"/>
          <w:color w:val="auto"/>
          <w:sz w:val="24"/>
          <w:lang w:eastAsia="zh-CN"/>
        </w:rPr>
        <w:t>费</w:t>
      </w:r>
      <w:r>
        <w:rPr>
          <w:rFonts w:hint="eastAsia" w:hAnsi="宋体"/>
          <w:color w:val="auto"/>
          <w:sz w:val="24"/>
        </w:rPr>
        <w:t>等与本项目工作相关的一切费用</w:t>
      </w:r>
      <w:r>
        <w:rPr>
          <w:rFonts w:hint="eastAsia" w:hAnsi="宋体"/>
          <w:color w:val="auto"/>
          <w:sz w:val="24"/>
          <w:szCs w:val="24"/>
        </w:rPr>
        <w:t>。</w:t>
      </w:r>
    </w:p>
    <w:p>
      <w:pPr>
        <w:pStyle w:val="21"/>
        <w:spacing w:line="360" w:lineRule="auto"/>
        <w:jc w:val="left"/>
        <w:rPr>
          <w:rFonts w:hint="eastAsia" w:hAnsi="宋体"/>
          <w:sz w:val="24"/>
          <w:szCs w:val="24"/>
        </w:rPr>
      </w:pPr>
      <w:r>
        <w:rPr>
          <w:rFonts w:hint="eastAsia" w:hAnsi="宋体"/>
          <w:sz w:val="24"/>
          <w:szCs w:val="24"/>
        </w:rPr>
        <w:t>3.3磋商文件未列明，而</w:t>
      </w:r>
      <w:r>
        <w:rPr>
          <w:rFonts w:hint="eastAsia" w:hAnsi="宋体"/>
          <w:sz w:val="24"/>
          <w:szCs w:val="24"/>
          <w:lang w:eastAsia="zh-CN"/>
        </w:rPr>
        <w:t>投标单位</w:t>
      </w:r>
      <w:r>
        <w:rPr>
          <w:rFonts w:hint="eastAsia" w:hAnsi="宋体"/>
          <w:sz w:val="24"/>
          <w:szCs w:val="24"/>
        </w:rPr>
        <w:t>认为必需的费用也需列入报价。</w:t>
      </w:r>
    </w:p>
    <w:p>
      <w:pPr>
        <w:tabs>
          <w:tab w:val="left" w:pos="525"/>
        </w:tabs>
        <w:spacing w:line="360" w:lineRule="auto"/>
        <w:jc w:val="left"/>
        <w:rPr>
          <w:rFonts w:hint="eastAsia" w:ascii="宋体" w:hAnsi="宋体"/>
          <w:sz w:val="24"/>
        </w:rPr>
      </w:pPr>
      <w:r>
        <w:rPr>
          <w:rFonts w:hint="eastAsia" w:ascii="宋体" w:hAnsi="宋体"/>
          <w:sz w:val="24"/>
        </w:rPr>
        <w:t>3.4</w:t>
      </w:r>
      <w:r>
        <w:rPr>
          <w:rFonts w:hint="eastAsia" w:ascii="宋体" w:hAnsi="宋体"/>
          <w:b/>
          <w:i/>
          <w:sz w:val="24"/>
        </w:rPr>
        <w:t>磋商报价只允许有一个报价，有选择的报价将不予接受（除指定外）。</w:t>
      </w:r>
    </w:p>
    <w:p>
      <w:pPr>
        <w:pStyle w:val="13"/>
        <w:numPr>
          <w:ilvl w:val="0"/>
          <w:numId w:val="0"/>
        </w:numPr>
        <w:spacing w:after="0" w:afterLines="0" w:line="360" w:lineRule="auto"/>
        <w:rPr>
          <w:rFonts w:hint="eastAsia" w:ascii="宋体" w:hAnsi="宋体"/>
          <w:b/>
          <w:szCs w:val="24"/>
        </w:rPr>
      </w:pPr>
      <w:r>
        <w:rPr>
          <w:rFonts w:hint="eastAsia" w:ascii="宋体" w:hAnsi="宋体"/>
          <w:b/>
          <w:szCs w:val="24"/>
        </w:rPr>
        <w:t>4.磋商响应文件的有效期</w:t>
      </w:r>
    </w:p>
    <w:p>
      <w:pPr>
        <w:pStyle w:val="13"/>
        <w:numPr>
          <w:ilvl w:val="0"/>
          <w:numId w:val="0"/>
        </w:numPr>
        <w:spacing w:after="0" w:afterLines="0" w:line="360" w:lineRule="auto"/>
        <w:rPr>
          <w:rFonts w:hint="eastAsia" w:ascii="宋体" w:hAnsi="宋体"/>
          <w:szCs w:val="24"/>
        </w:rPr>
      </w:pPr>
      <w:r>
        <w:rPr>
          <w:rFonts w:hint="eastAsia" w:ascii="宋体" w:hAnsi="宋体"/>
          <w:szCs w:val="24"/>
        </w:rPr>
        <w:t>4.1</w:t>
      </w:r>
      <w:r>
        <w:rPr>
          <w:rFonts w:hint="eastAsia" w:ascii="宋体" w:hAnsi="宋体"/>
        </w:rPr>
        <w:t>自磋商截止日起45天</w:t>
      </w:r>
      <w:r>
        <w:rPr>
          <w:rFonts w:hint="eastAsia" w:ascii="宋体" w:hAnsi="宋体"/>
          <w:szCs w:val="24"/>
        </w:rPr>
        <w:t>磋商响应文件应保持有效</w:t>
      </w:r>
      <w:r>
        <w:rPr>
          <w:rFonts w:hint="eastAsia" w:ascii="宋体" w:hAnsi="宋体"/>
        </w:rPr>
        <w:t>。如采购人认为必要，可延长至总计最长不超过60天</w:t>
      </w:r>
      <w:r>
        <w:rPr>
          <w:rFonts w:hint="eastAsia" w:ascii="宋体" w:hAnsi="宋体"/>
          <w:szCs w:val="24"/>
        </w:rPr>
        <w:t>。有效期短于这个规定期限的磋商响应文件将被拒绝。</w:t>
      </w:r>
    </w:p>
    <w:p>
      <w:pPr>
        <w:pStyle w:val="13"/>
        <w:numPr>
          <w:ilvl w:val="0"/>
          <w:numId w:val="0"/>
        </w:numPr>
        <w:spacing w:after="0" w:afterLines="0" w:line="360" w:lineRule="auto"/>
        <w:rPr>
          <w:rFonts w:hint="eastAsia" w:ascii="宋体" w:hAnsi="宋体"/>
          <w:szCs w:val="24"/>
        </w:rPr>
      </w:pPr>
      <w:r>
        <w:rPr>
          <w:rFonts w:hint="eastAsia" w:ascii="宋体" w:hAnsi="宋体"/>
          <w:szCs w:val="24"/>
        </w:rPr>
        <w:t>4.2在特殊情况下，采购人、采购代理机构可与</w:t>
      </w:r>
      <w:r>
        <w:rPr>
          <w:rFonts w:hint="eastAsia" w:ascii="宋体" w:hAnsi="宋体"/>
          <w:szCs w:val="24"/>
          <w:lang w:eastAsia="zh-CN"/>
        </w:rPr>
        <w:t>投标单位</w:t>
      </w:r>
      <w:r>
        <w:rPr>
          <w:rFonts w:hint="eastAsia" w:ascii="宋体" w:hAnsi="宋体"/>
          <w:szCs w:val="24"/>
        </w:rPr>
        <w:t>协商延长磋商响应文件的有效期，这种要求和答复均以书面形式进行。</w:t>
      </w:r>
    </w:p>
    <w:p>
      <w:pPr>
        <w:pStyle w:val="13"/>
        <w:numPr>
          <w:ilvl w:val="0"/>
          <w:numId w:val="0"/>
        </w:numPr>
        <w:spacing w:after="0" w:afterLines="0" w:line="360" w:lineRule="auto"/>
        <w:rPr>
          <w:rFonts w:hint="eastAsia" w:ascii="宋体" w:hAnsi="宋体"/>
          <w:szCs w:val="24"/>
        </w:rPr>
      </w:pPr>
      <w:r>
        <w:rPr>
          <w:rFonts w:hint="eastAsia" w:ascii="宋体" w:hAnsi="宋体"/>
          <w:szCs w:val="24"/>
        </w:rPr>
        <w:t>4.3</w:t>
      </w:r>
      <w:r>
        <w:rPr>
          <w:rFonts w:hint="eastAsia" w:ascii="宋体" w:hAnsi="宋体"/>
          <w:szCs w:val="24"/>
          <w:lang w:eastAsia="zh-CN"/>
        </w:rPr>
        <w:t>投标单位</w:t>
      </w:r>
      <w:r>
        <w:rPr>
          <w:rFonts w:hint="eastAsia" w:ascii="宋体" w:hAnsi="宋体"/>
          <w:szCs w:val="24"/>
        </w:rPr>
        <w:t>可拒绝接受延期要求而不会导致磋商保证金被没收。同意延长有效期的</w:t>
      </w:r>
      <w:r>
        <w:rPr>
          <w:rFonts w:hint="eastAsia" w:ascii="宋体" w:hAnsi="宋体"/>
          <w:szCs w:val="24"/>
          <w:lang w:eastAsia="zh-CN"/>
        </w:rPr>
        <w:t>投标单位</w:t>
      </w:r>
      <w:r>
        <w:rPr>
          <w:rFonts w:hint="eastAsia" w:ascii="宋体" w:hAnsi="宋体"/>
          <w:szCs w:val="24"/>
        </w:rPr>
        <w:t>不能修改磋商响应文件。</w:t>
      </w:r>
    </w:p>
    <w:p>
      <w:pPr>
        <w:snapToGrid w:val="0"/>
        <w:spacing w:line="360" w:lineRule="auto"/>
        <w:jc w:val="left"/>
        <w:rPr>
          <w:rFonts w:hint="eastAsia" w:ascii="宋体" w:hAnsi="宋体"/>
          <w:b/>
          <w:sz w:val="24"/>
        </w:rPr>
      </w:pPr>
      <w:r>
        <w:rPr>
          <w:rFonts w:hint="eastAsia" w:ascii="宋体" w:hAnsi="宋体"/>
          <w:b/>
          <w:sz w:val="24"/>
        </w:rPr>
        <w:t>5.磋商响应文件的份数和规定</w:t>
      </w:r>
    </w:p>
    <w:p>
      <w:pPr>
        <w:snapToGrid w:val="0"/>
        <w:spacing w:line="360" w:lineRule="auto"/>
        <w:jc w:val="left"/>
        <w:rPr>
          <w:rFonts w:hint="eastAsia" w:ascii="宋体" w:hAnsi="宋体"/>
          <w:sz w:val="24"/>
        </w:rPr>
      </w:pPr>
      <w:r>
        <w:rPr>
          <w:rFonts w:hint="eastAsia" w:ascii="宋体" w:hAnsi="宋体"/>
          <w:sz w:val="24"/>
        </w:rPr>
        <w:t>5.1磋商响应文件的正本需打印或用不褪色的墨水填写，不允许行间插字，并注明“正本”字样，磋商响应文件正本除本磋商须知中规定的可提供复印件外均须提供原件。副本为正本的复印件，正本与副本不一致，以正本为准。</w:t>
      </w:r>
    </w:p>
    <w:p>
      <w:pPr>
        <w:pStyle w:val="21"/>
        <w:spacing w:line="360" w:lineRule="auto"/>
        <w:jc w:val="left"/>
        <w:rPr>
          <w:rFonts w:hint="eastAsia" w:hAnsi="宋体"/>
          <w:sz w:val="24"/>
          <w:szCs w:val="24"/>
        </w:rPr>
      </w:pPr>
      <w:r>
        <w:rPr>
          <w:rFonts w:hint="eastAsia" w:hAnsi="宋体"/>
          <w:sz w:val="24"/>
          <w:szCs w:val="24"/>
        </w:rPr>
        <w:t>5.2磋商响应文件由“技术文件资料”和“商务文件资料”两部分文件组成，应按统一格式填写，装订成册，并在封面处明确注明“技术文件资料”或“商务文件资料”。</w:t>
      </w:r>
    </w:p>
    <w:p>
      <w:pPr>
        <w:pStyle w:val="21"/>
        <w:spacing w:line="360" w:lineRule="auto"/>
        <w:jc w:val="left"/>
        <w:rPr>
          <w:rFonts w:hint="eastAsia" w:hAnsi="宋体"/>
          <w:sz w:val="24"/>
          <w:szCs w:val="24"/>
        </w:rPr>
      </w:pPr>
      <w:r>
        <w:rPr>
          <w:rFonts w:hint="eastAsia" w:hAnsi="宋体"/>
          <w:sz w:val="24"/>
          <w:szCs w:val="24"/>
        </w:rPr>
        <w:t>5.3磋商响应文件一式三份，其中正本一份，副本二份。</w:t>
      </w:r>
    </w:p>
    <w:p>
      <w:pPr>
        <w:pStyle w:val="21"/>
        <w:spacing w:line="360" w:lineRule="auto"/>
        <w:jc w:val="left"/>
        <w:rPr>
          <w:rFonts w:hint="eastAsia" w:hAnsi="宋体"/>
          <w:sz w:val="24"/>
          <w:szCs w:val="24"/>
        </w:rPr>
      </w:pPr>
      <w:r>
        <w:rPr>
          <w:rFonts w:hint="eastAsia" w:hAnsi="宋体"/>
          <w:sz w:val="24"/>
          <w:szCs w:val="24"/>
        </w:rPr>
        <w:t>5.4磋商响应文件须由</w:t>
      </w:r>
      <w:r>
        <w:rPr>
          <w:rFonts w:hint="eastAsia" w:hAnsi="宋体"/>
          <w:sz w:val="24"/>
          <w:szCs w:val="24"/>
          <w:lang w:eastAsia="zh-CN"/>
        </w:rPr>
        <w:t>投标单位</w:t>
      </w:r>
      <w:r>
        <w:rPr>
          <w:rFonts w:hint="eastAsia" w:hAnsi="宋体"/>
          <w:sz w:val="24"/>
          <w:szCs w:val="24"/>
        </w:rPr>
        <w:t>在规定位置盖章并由法定代表人或其授权代表签署，</w:t>
      </w:r>
      <w:r>
        <w:rPr>
          <w:rFonts w:hint="eastAsia" w:hAnsi="宋体"/>
          <w:sz w:val="24"/>
          <w:szCs w:val="24"/>
          <w:lang w:eastAsia="zh-CN"/>
        </w:rPr>
        <w:t>投标单位</w:t>
      </w:r>
      <w:r>
        <w:rPr>
          <w:rFonts w:hint="eastAsia" w:hAnsi="宋体"/>
          <w:sz w:val="24"/>
          <w:szCs w:val="24"/>
        </w:rPr>
        <w:t xml:space="preserve">应写全称。 </w:t>
      </w:r>
    </w:p>
    <w:p>
      <w:pPr>
        <w:pStyle w:val="21"/>
        <w:spacing w:line="360" w:lineRule="auto"/>
        <w:jc w:val="left"/>
        <w:rPr>
          <w:rFonts w:hint="eastAsia" w:hAnsi="宋体"/>
          <w:sz w:val="24"/>
          <w:szCs w:val="24"/>
          <w:lang w:eastAsia="zh-CN"/>
        </w:rPr>
      </w:pPr>
      <w:r>
        <w:rPr>
          <w:rFonts w:hint="eastAsia" w:hAnsi="宋体"/>
          <w:sz w:val="24"/>
          <w:szCs w:val="24"/>
          <w:lang w:eastAsia="zh-CN"/>
        </w:rPr>
        <w:t>5.5磋商响应文件不得涂改，若有修改错漏处，须加盖单位公章或者法定代表人或其授权代表签字或盖章。</w:t>
      </w:r>
    </w:p>
    <w:p>
      <w:pPr>
        <w:pStyle w:val="21"/>
        <w:spacing w:line="360" w:lineRule="auto"/>
        <w:jc w:val="left"/>
        <w:rPr>
          <w:rFonts w:hint="eastAsia" w:hAnsi="宋体"/>
          <w:sz w:val="24"/>
          <w:szCs w:val="24"/>
          <w:lang w:eastAsia="zh-CN"/>
        </w:rPr>
      </w:pPr>
      <w:r>
        <w:rPr>
          <w:rFonts w:hint="eastAsia" w:hAnsi="宋体"/>
          <w:sz w:val="24"/>
          <w:szCs w:val="24"/>
          <w:lang w:eastAsia="zh-CN"/>
        </w:rPr>
        <w:t>5.6磋商响应文件因字迹潦草或表达不清所引起的后果由投标单位负责。</w:t>
      </w:r>
    </w:p>
    <w:p>
      <w:pPr>
        <w:pStyle w:val="21"/>
        <w:spacing w:line="360" w:lineRule="auto"/>
        <w:jc w:val="left"/>
        <w:rPr>
          <w:rFonts w:hint="eastAsia" w:hAnsi="宋体"/>
          <w:sz w:val="24"/>
          <w:szCs w:val="24"/>
          <w:lang w:eastAsia="zh-CN"/>
        </w:rPr>
      </w:pPr>
      <w:r>
        <w:rPr>
          <w:rFonts w:hint="eastAsia" w:hAnsi="宋体"/>
          <w:sz w:val="24"/>
          <w:szCs w:val="24"/>
          <w:lang w:eastAsia="zh-CN"/>
        </w:rPr>
        <w:t>5.7投标单位应认真阅读磋商文件中所有的内容。如果投</w:t>
      </w:r>
      <w:r>
        <w:rPr>
          <w:rFonts w:hint="eastAsia" w:ascii="宋体" w:hAnsi="宋体"/>
          <w:sz w:val="24"/>
          <w:lang w:eastAsia="zh-CN"/>
        </w:rPr>
        <w:t>标单位</w:t>
      </w:r>
      <w:r>
        <w:rPr>
          <w:rFonts w:hint="eastAsia" w:ascii="宋体" w:hAnsi="宋体"/>
          <w:sz w:val="24"/>
        </w:rPr>
        <w:t>编制的磋商响应文件</w:t>
      </w:r>
      <w:r>
        <w:rPr>
          <w:rFonts w:hint="eastAsia" w:hAnsi="宋体"/>
          <w:sz w:val="24"/>
          <w:szCs w:val="24"/>
          <w:lang w:eastAsia="zh-CN"/>
        </w:rPr>
        <w:t>实质上不响应磋商文件的要求，其磋商响应文件将被磋商小组拒绝。</w:t>
      </w:r>
    </w:p>
    <w:p>
      <w:pPr>
        <w:pStyle w:val="21"/>
        <w:spacing w:line="360" w:lineRule="auto"/>
        <w:jc w:val="left"/>
        <w:rPr>
          <w:rFonts w:hint="eastAsia" w:hAnsi="宋体"/>
          <w:b/>
          <w:bCs/>
          <w:sz w:val="24"/>
          <w:szCs w:val="24"/>
          <w:lang w:eastAsia="zh-CN"/>
        </w:rPr>
      </w:pPr>
      <w:r>
        <w:rPr>
          <w:rFonts w:hint="eastAsia" w:hAnsi="宋体"/>
          <w:b/>
          <w:bCs/>
          <w:sz w:val="24"/>
          <w:szCs w:val="24"/>
          <w:lang w:eastAsia="zh-CN"/>
        </w:rPr>
        <w:t>6. 磋商响应文件的密封、盖章和签署</w:t>
      </w:r>
    </w:p>
    <w:p>
      <w:pPr>
        <w:pStyle w:val="21"/>
        <w:spacing w:line="360" w:lineRule="auto"/>
        <w:jc w:val="left"/>
        <w:rPr>
          <w:rFonts w:hint="eastAsia" w:hAnsi="宋体"/>
          <w:sz w:val="24"/>
        </w:rPr>
      </w:pPr>
      <w:r>
        <w:rPr>
          <w:rFonts w:hint="eastAsia" w:hAnsi="宋体"/>
          <w:b/>
          <w:bCs/>
          <w:sz w:val="24"/>
          <w:szCs w:val="24"/>
          <w:lang w:eastAsia="zh-CN"/>
        </w:rPr>
        <w:t>磋商响应文件组成的“技术文件资料”、“商务文件资料”分</w:t>
      </w:r>
      <w:r>
        <w:rPr>
          <w:rFonts w:hint="eastAsia" w:hAnsi="宋体"/>
          <w:b/>
          <w:bCs/>
          <w:sz w:val="24"/>
        </w:rPr>
        <w:t>二部份分别密封封装，</w:t>
      </w:r>
      <w:r>
        <w:rPr>
          <w:rFonts w:hint="eastAsia" w:hAnsi="宋体"/>
          <w:sz w:val="24"/>
        </w:rPr>
        <w:t>并明确注明“技术文件资料或商务文件资料、项目名称、</w:t>
      </w:r>
      <w:r>
        <w:rPr>
          <w:rFonts w:hint="eastAsia" w:hAnsi="宋体"/>
          <w:sz w:val="24"/>
          <w:lang w:eastAsia="zh-CN"/>
        </w:rPr>
        <w:t>投标单位</w:t>
      </w:r>
      <w:r>
        <w:rPr>
          <w:rFonts w:hint="eastAsia" w:hAnsi="宋体"/>
          <w:sz w:val="24"/>
        </w:rPr>
        <w:t>名称”字样，同时封口处加盖骑缝单位公章。</w:t>
      </w:r>
    </w:p>
    <w:p>
      <w:pPr>
        <w:pStyle w:val="21"/>
        <w:spacing w:line="360" w:lineRule="auto"/>
        <w:jc w:val="left"/>
        <w:rPr>
          <w:rFonts w:hint="eastAsia" w:hAnsi="宋体"/>
          <w:b/>
          <w:bCs/>
          <w:sz w:val="24"/>
        </w:rPr>
      </w:pPr>
      <w:r>
        <w:rPr>
          <w:rFonts w:hint="eastAsia" w:hAnsi="宋体"/>
          <w:b/>
          <w:bCs/>
          <w:sz w:val="24"/>
        </w:rPr>
        <w:t>7．磋商响应文件的补充和修改</w:t>
      </w:r>
    </w:p>
    <w:p>
      <w:pPr>
        <w:pStyle w:val="21"/>
        <w:spacing w:line="360" w:lineRule="auto"/>
        <w:jc w:val="left"/>
        <w:rPr>
          <w:rFonts w:hint="eastAsia" w:ascii="宋体" w:hAnsi="宋体"/>
          <w:kern w:val="0"/>
          <w:sz w:val="24"/>
        </w:rPr>
      </w:pPr>
      <w:r>
        <w:rPr>
          <w:rFonts w:hint="eastAsia" w:hAnsi="宋体"/>
          <w:sz w:val="24"/>
        </w:rPr>
        <w:t>磋商截止时间前，</w:t>
      </w:r>
      <w:r>
        <w:rPr>
          <w:rFonts w:hint="eastAsia" w:hAnsi="宋体"/>
          <w:sz w:val="24"/>
          <w:lang w:eastAsia="zh-CN"/>
        </w:rPr>
        <w:t>投标单位</w:t>
      </w:r>
      <w:r>
        <w:rPr>
          <w:rFonts w:hint="eastAsia" w:hAnsi="宋体"/>
          <w:sz w:val="24"/>
        </w:rPr>
        <w:t>可以书面形式向采购人、采购代理机构提出对磋商响应文件进行补充和修改，相应部分以最后的补充和修</w:t>
      </w:r>
      <w:r>
        <w:rPr>
          <w:rFonts w:hint="eastAsia" w:ascii="宋体" w:hAnsi="宋体"/>
          <w:kern w:val="0"/>
          <w:sz w:val="24"/>
        </w:rPr>
        <w:t>改为准。该书面材料应密封，</w:t>
      </w:r>
      <w:r>
        <w:rPr>
          <w:rFonts w:hint="eastAsia" w:ascii="宋体" w:hAnsi="宋体"/>
          <w:sz w:val="24"/>
        </w:rPr>
        <w:t>并明确注明“</w:t>
      </w:r>
      <w:r>
        <w:rPr>
          <w:rFonts w:hint="eastAsia" w:ascii="宋体" w:hAnsi="宋体"/>
          <w:kern w:val="0"/>
          <w:sz w:val="24"/>
        </w:rPr>
        <w:t>修改（或补充）技术文件资料或商务文件资料、项目名称、</w:t>
      </w:r>
      <w:r>
        <w:rPr>
          <w:rFonts w:hint="eastAsia" w:ascii="宋体" w:hAnsi="宋体"/>
          <w:kern w:val="0"/>
          <w:sz w:val="24"/>
          <w:lang w:eastAsia="zh-CN"/>
        </w:rPr>
        <w:t>投标单位</w:t>
      </w:r>
      <w:r>
        <w:rPr>
          <w:rFonts w:hint="eastAsia" w:ascii="宋体" w:hAnsi="宋体"/>
          <w:kern w:val="0"/>
          <w:sz w:val="24"/>
        </w:rPr>
        <w:t>名称</w:t>
      </w:r>
      <w:r>
        <w:rPr>
          <w:rFonts w:hint="eastAsia" w:ascii="宋体" w:hAnsi="宋体"/>
          <w:sz w:val="24"/>
        </w:rPr>
        <w:t>”</w:t>
      </w:r>
      <w:r>
        <w:rPr>
          <w:rFonts w:hint="eastAsia" w:ascii="宋体" w:hAnsi="宋体"/>
          <w:kern w:val="0"/>
          <w:sz w:val="24"/>
        </w:rPr>
        <w:t>字样</w:t>
      </w:r>
      <w:r>
        <w:rPr>
          <w:rFonts w:hint="eastAsia" w:ascii="宋体" w:hAnsi="宋体"/>
          <w:sz w:val="24"/>
        </w:rPr>
        <w:t>，</w:t>
      </w:r>
      <w:r>
        <w:rPr>
          <w:rFonts w:hint="eastAsia" w:ascii="宋体" w:hAnsi="宋体"/>
          <w:kern w:val="0"/>
          <w:sz w:val="24"/>
        </w:rPr>
        <w:t>同时</w:t>
      </w:r>
      <w:r>
        <w:rPr>
          <w:rFonts w:hint="eastAsia" w:ascii="宋体" w:hAnsi="宋体"/>
          <w:sz w:val="24"/>
        </w:rPr>
        <w:t>封口处</w:t>
      </w:r>
      <w:r>
        <w:rPr>
          <w:rFonts w:hint="eastAsia" w:ascii="宋体" w:hAnsi="宋体"/>
          <w:kern w:val="0"/>
          <w:sz w:val="24"/>
        </w:rPr>
        <w:t>由</w:t>
      </w:r>
      <w:r>
        <w:rPr>
          <w:rFonts w:hint="eastAsia" w:ascii="宋体" w:hAnsi="宋体"/>
          <w:sz w:val="24"/>
        </w:rPr>
        <w:t>法定代表人或其授权代表签字或盖章</w:t>
      </w:r>
      <w:r>
        <w:rPr>
          <w:rFonts w:hint="eastAsia" w:ascii="宋体" w:hAnsi="宋体"/>
          <w:kern w:val="0"/>
          <w:sz w:val="24"/>
        </w:rPr>
        <w:t>。</w:t>
      </w:r>
    </w:p>
    <w:p>
      <w:pPr>
        <w:pStyle w:val="21"/>
        <w:snapToGrid w:val="0"/>
        <w:spacing w:line="360" w:lineRule="auto"/>
        <w:jc w:val="left"/>
        <w:rPr>
          <w:rFonts w:hint="eastAsia" w:hAnsi="宋体"/>
          <w:b/>
          <w:sz w:val="24"/>
          <w:szCs w:val="24"/>
        </w:rPr>
      </w:pPr>
      <w:r>
        <w:rPr>
          <w:rFonts w:hint="eastAsia" w:hAnsi="宋体"/>
          <w:b/>
          <w:sz w:val="24"/>
          <w:szCs w:val="24"/>
        </w:rPr>
        <w:t>8．无效磋商的情形</w:t>
      </w:r>
    </w:p>
    <w:p>
      <w:pPr>
        <w:tabs>
          <w:tab w:val="left" w:pos="4085"/>
        </w:tabs>
        <w:snapToGrid w:val="0"/>
        <w:spacing w:line="360" w:lineRule="auto"/>
        <w:jc w:val="left"/>
        <w:rPr>
          <w:rFonts w:hint="eastAsia" w:ascii="宋体" w:hAnsi="宋体"/>
          <w:sz w:val="24"/>
        </w:rPr>
      </w:pPr>
      <w:r>
        <w:rPr>
          <w:rFonts w:hint="eastAsia" w:ascii="宋体" w:hAnsi="宋体"/>
          <w:sz w:val="24"/>
        </w:rPr>
        <w:t>磋商响应文件有下列情形之一的作无效磋商响应处理：</w:t>
      </w:r>
    </w:p>
    <w:p>
      <w:pPr>
        <w:snapToGrid w:val="0"/>
        <w:spacing w:line="360" w:lineRule="auto"/>
        <w:jc w:val="left"/>
        <w:rPr>
          <w:rFonts w:hint="eastAsia" w:ascii="宋体" w:hAnsi="宋体"/>
          <w:b/>
          <w:sz w:val="24"/>
        </w:rPr>
      </w:pPr>
      <w:r>
        <w:rPr>
          <w:rFonts w:hint="eastAsia" w:ascii="宋体" w:hAnsi="宋体"/>
          <w:b/>
          <w:sz w:val="24"/>
        </w:rPr>
        <w:t>8.1磋商响应文件包装未按照磋商文件规定要求密封封装、签署、盖章的；</w:t>
      </w:r>
    </w:p>
    <w:p>
      <w:pPr>
        <w:snapToGrid w:val="0"/>
        <w:spacing w:line="360" w:lineRule="auto"/>
        <w:jc w:val="left"/>
        <w:rPr>
          <w:rFonts w:hint="eastAsia" w:ascii="宋体" w:hAnsi="宋体"/>
          <w:b/>
          <w:sz w:val="24"/>
        </w:rPr>
      </w:pPr>
      <w:r>
        <w:rPr>
          <w:rFonts w:hint="eastAsia" w:ascii="宋体" w:hAnsi="宋体"/>
          <w:b/>
          <w:sz w:val="24"/>
        </w:rPr>
        <w:t>8.2不具备磋商文件中规定</w:t>
      </w:r>
      <w:r>
        <w:rPr>
          <w:rFonts w:hint="eastAsia" w:ascii="宋体" w:hAnsi="宋体"/>
          <w:b/>
          <w:sz w:val="24"/>
          <w:lang w:eastAsia="zh-CN"/>
        </w:rPr>
        <w:t>投标单位</w:t>
      </w:r>
      <w:r>
        <w:rPr>
          <w:rFonts w:hint="eastAsia" w:ascii="宋体" w:hAnsi="宋体"/>
          <w:b/>
          <w:sz w:val="24"/>
        </w:rPr>
        <w:t>资格要求的；</w:t>
      </w:r>
    </w:p>
    <w:p>
      <w:pPr>
        <w:snapToGrid w:val="0"/>
        <w:spacing w:line="360" w:lineRule="auto"/>
        <w:jc w:val="left"/>
        <w:rPr>
          <w:rFonts w:hint="eastAsia" w:ascii="宋体" w:hAnsi="宋体"/>
          <w:b/>
          <w:kern w:val="0"/>
          <w:sz w:val="24"/>
        </w:rPr>
      </w:pPr>
      <w:r>
        <w:rPr>
          <w:rFonts w:hint="eastAsia" w:ascii="宋体" w:hAnsi="宋体"/>
          <w:b/>
          <w:sz w:val="24"/>
        </w:rPr>
        <w:t>8.3磋商响应文件中授权代表</w:t>
      </w:r>
      <w:r>
        <w:rPr>
          <w:rFonts w:hint="eastAsia" w:ascii="宋体" w:hAnsi="宋体"/>
          <w:b/>
          <w:kern w:val="0"/>
          <w:sz w:val="24"/>
        </w:rPr>
        <w:t>无《法定代表人授权委托书》或</w:t>
      </w:r>
      <w:r>
        <w:rPr>
          <w:rFonts w:hint="eastAsia" w:ascii="宋体" w:hAnsi="宋体"/>
          <w:b/>
          <w:sz w:val="24"/>
        </w:rPr>
        <w:t>未能出具身份证明的</w:t>
      </w:r>
      <w:r>
        <w:rPr>
          <w:rFonts w:hint="eastAsia" w:ascii="宋体" w:hAnsi="宋体"/>
          <w:b/>
          <w:kern w:val="0"/>
          <w:sz w:val="24"/>
        </w:rPr>
        <w:t>；</w:t>
      </w:r>
    </w:p>
    <w:p>
      <w:pPr>
        <w:snapToGrid w:val="0"/>
        <w:spacing w:line="360" w:lineRule="auto"/>
        <w:jc w:val="left"/>
        <w:rPr>
          <w:rFonts w:hint="eastAsia" w:ascii="宋体" w:hAnsi="宋体"/>
          <w:b/>
          <w:kern w:val="0"/>
          <w:sz w:val="24"/>
        </w:rPr>
      </w:pPr>
      <w:r>
        <w:rPr>
          <w:rFonts w:hint="eastAsia" w:ascii="宋体" w:hAnsi="宋体"/>
          <w:b/>
          <w:kern w:val="0"/>
          <w:sz w:val="24"/>
        </w:rPr>
        <w:t>8.4《法定代表人授权委托书》或《法定代表人身份证明书》填写不全、错误、未加盖公章(《法定代表人授权委托书》要求公章和签字或盖章缺一不可）；法定代表人参加磋商，未能出具身份证明或与《法定代表人身份证明书》不符的；</w:t>
      </w:r>
    </w:p>
    <w:p>
      <w:pPr>
        <w:snapToGrid w:val="0"/>
        <w:spacing w:line="360" w:lineRule="auto"/>
        <w:jc w:val="left"/>
        <w:rPr>
          <w:rFonts w:hint="eastAsia" w:ascii="宋体" w:hAnsi="宋体"/>
          <w:b/>
          <w:sz w:val="24"/>
        </w:rPr>
      </w:pPr>
      <w:r>
        <w:rPr>
          <w:rFonts w:hint="eastAsia" w:ascii="宋体" w:hAnsi="宋体"/>
          <w:b/>
          <w:kern w:val="0"/>
          <w:sz w:val="24"/>
        </w:rPr>
        <w:t>8.5参加磋商的个体工商户姓名与营业执照上所述经营者姓名不一致的；</w:t>
      </w:r>
    </w:p>
    <w:p>
      <w:pPr>
        <w:tabs>
          <w:tab w:val="left" w:pos="3870"/>
          <w:tab w:val="left" w:pos="4085"/>
        </w:tabs>
        <w:snapToGrid w:val="0"/>
        <w:spacing w:line="360" w:lineRule="auto"/>
        <w:jc w:val="left"/>
        <w:rPr>
          <w:rFonts w:hint="eastAsia" w:ascii="宋体" w:hAnsi="宋体"/>
          <w:b/>
          <w:sz w:val="24"/>
        </w:rPr>
      </w:pPr>
      <w:r>
        <w:rPr>
          <w:rFonts w:hint="eastAsia" w:ascii="宋体" w:hAnsi="宋体"/>
          <w:b/>
          <w:sz w:val="24"/>
        </w:rPr>
        <w:t>8.6磋商响应文件中的磋商响应函未加盖</w:t>
      </w:r>
      <w:r>
        <w:rPr>
          <w:rFonts w:hint="eastAsia" w:ascii="宋体" w:hAnsi="宋体"/>
          <w:b/>
          <w:sz w:val="24"/>
          <w:lang w:eastAsia="zh-CN"/>
        </w:rPr>
        <w:t>投标单位</w:t>
      </w:r>
      <w:r>
        <w:rPr>
          <w:rFonts w:hint="eastAsia" w:ascii="宋体" w:hAnsi="宋体"/>
          <w:b/>
          <w:sz w:val="24"/>
        </w:rPr>
        <w:t>的企业公章或填写不全的；</w:t>
      </w:r>
    </w:p>
    <w:p>
      <w:pPr>
        <w:tabs>
          <w:tab w:val="left" w:pos="3870"/>
          <w:tab w:val="left" w:pos="4085"/>
        </w:tabs>
        <w:snapToGrid w:val="0"/>
        <w:spacing w:line="360" w:lineRule="auto"/>
        <w:jc w:val="left"/>
        <w:rPr>
          <w:rFonts w:hint="eastAsia" w:ascii="宋体" w:hAnsi="宋体"/>
          <w:b/>
          <w:sz w:val="24"/>
        </w:rPr>
      </w:pPr>
      <w:r>
        <w:rPr>
          <w:rFonts w:hint="eastAsia" w:ascii="宋体" w:hAnsi="宋体"/>
          <w:b/>
          <w:kern w:val="0"/>
          <w:sz w:val="24"/>
        </w:rPr>
        <w:t>8.7</w:t>
      </w:r>
      <w:r>
        <w:rPr>
          <w:rFonts w:hint="eastAsia" w:ascii="宋体" w:hAnsi="宋体"/>
          <w:b/>
          <w:sz w:val="24"/>
          <w:lang w:eastAsia="zh-CN"/>
        </w:rPr>
        <w:t>投标单位</w:t>
      </w:r>
      <w:r>
        <w:rPr>
          <w:rFonts w:hint="eastAsia" w:ascii="宋体" w:hAnsi="宋体"/>
          <w:b/>
          <w:sz w:val="24"/>
        </w:rPr>
        <w:t>递交两份或两份以上内容不同的磋商响应文件，且未声明哪一份有效的；</w:t>
      </w:r>
    </w:p>
    <w:p>
      <w:pPr>
        <w:pStyle w:val="21"/>
        <w:snapToGrid w:val="0"/>
        <w:spacing w:line="360" w:lineRule="auto"/>
        <w:jc w:val="left"/>
        <w:rPr>
          <w:rFonts w:hint="eastAsia" w:hAnsi="宋体"/>
          <w:b/>
          <w:sz w:val="24"/>
          <w:szCs w:val="24"/>
        </w:rPr>
      </w:pPr>
      <w:r>
        <w:rPr>
          <w:rFonts w:hint="eastAsia" w:hAnsi="宋体"/>
          <w:b/>
          <w:kern w:val="0"/>
          <w:sz w:val="24"/>
        </w:rPr>
        <w:t>8.8</w:t>
      </w:r>
      <w:r>
        <w:rPr>
          <w:rFonts w:hint="eastAsia" w:hAnsi="宋体"/>
          <w:b/>
          <w:sz w:val="24"/>
        </w:rPr>
        <w:t>磋商响应产品详细配置清单响应表不真实填写或弄虚作假的；</w:t>
      </w:r>
    </w:p>
    <w:p>
      <w:pPr>
        <w:pStyle w:val="21"/>
        <w:snapToGrid w:val="0"/>
        <w:spacing w:line="360" w:lineRule="auto"/>
        <w:jc w:val="left"/>
        <w:rPr>
          <w:rFonts w:hint="eastAsia" w:hAnsi="宋体"/>
          <w:b/>
          <w:sz w:val="24"/>
          <w:szCs w:val="24"/>
        </w:rPr>
      </w:pPr>
      <w:r>
        <w:rPr>
          <w:rFonts w:hint="eastAsia" w:hAnsi="宋体"/>
          <w:b/>
          <w:sz w:val="24"/>
        </w:rPr>
        <w:t>8.9磋商响应文件中未应答磋商产品详细技术规格，致使磋商小组无法评审的；</w:t>
      </w:r>
    </w:p>
    <w:p>
      <w:pPr>
        <w:tabs>
          <w:tab w:val="left" w:pos="3870"/>
          <w:tab w:val="left" w:pos="4085"/>
        </w:tabs>
        <w:snapToGrid w:val="0"/>
        <w:spacing w:line="360" w:lineRule="auto"/>
        <w:jc w:val="left"/>
        <w:rPr>
          <w:rFonts w:hint="eastAsia" w:ascii="宋体" w:hAnsi="宋体"/>
          <w:b/>
          <w:kern w:val="0"/>
          <w:sz w:val="24"/>
        </w:rPr>
      </w:pPr>
      <w:r>
        <w:rPr>
          <w:rFonts w:hint="eastAsia" w:ascii="宋体" w:hAnsi="宋体"/>
          <w:b/>
          <w:sz w:val="24"/>
        </w:rPr>
        <w:t>8.10</w:t>
      </w:r>
      <w:r>
        <w:rPr>
          <w:rFonts w:hint="eastAsia" w:ascii="宋体" w:hAnsi="宋体"/>
          <w:b/>
          <w:kern w:val="0"/>
          <w:sz w:val="24"/>
        </w:rPr>
        <w:t>磋商响应文件有采购人不能接受的条件；</w:t>
      </w:r>
    </w:p>
    <w:p>
      <w:pPr>
        <w:tabs>
          <w:tab w:val="left" w:pos="3870"/>
          <w:tab w:val="left" w:pos="4085"/>
        </w:tabs>
        <w:snapToGrid w:val="0"/>
        <w:spacing w:line="360" w:lineRule="auto"/>
        <w:jc w:val="left"/>
        <w:rPr>
          <w:rFonts w:hint="eastAsia" w:ascii="宋体" w:hAnsi="宋体"/>
          <w:b/>
          <w:kern w:val="0"/>
          <w:sz w:val="24"/>
        </w:rPr>
      </w:pPr>
      <w:r>
        <w:rPr>
          <w:rFonts w:hint="eastAsia" w:ascii="宋体" w:hAnsi="宋体"/>
          <w:b/>
          <w:kern w:val="0"/>
          <w:sz w:val="24"/>
        </w:rPr>
        <w:t>8.11</w:t>
      </w:r>
      <w:r>
        <w:rPr>
          <w:rFonts w:hint="eastAsia" w:ascii="宋体" w:hAnsi="宋体"/>
          <w:b/>
          <w:sz w:val="24"/>
        </w:rPr>
        <w:t>磋商小组</w:t>
      </w:r>
      <w:r>
        <w:rPr>
          <w:rFonts w:hint="eastAsia" w:ascii="宋体" w:hAnsi="宋体"/>
          <w:b/>
          <w:kern w:val="0"/>
          <w:sz w:val="24"/>
        </w:rPr>
        <w:t>为</w:t>
      </w:r>
      <w:r>
        <w:rPr>
          <w:rFonts w:hint="eastAsia" w:ascii="宋体" w:hAnsi="宋体"/>
          <w:b/>
          <w:kern w:val="0"/>
          <w:sz w:val="24"/>
          <w:lang w:eastAsia="zh-CN"/>
        </w:rPr>
        <w:t>投标单位</w:t>
      </w:r>
      <w:r>
        <w:rPr>
          <w:rFonts w:hint="eastAsia" w:ascii="宋体" w:hAnsi="宋体"/>
          <w:b/>
          <w:kern w:val="0"/>
          <w:sz w:val="24"/>
        </w:rPr>
        <w:t>的报价</w:t>
      </w:r>
      <w:r>
        <w:rPr>
          <w:rFonts w:hint="eastAsia" w:ascii="宋体" w:hAnsi="宋体"/>
          <w:b/>
          <w:sz w:val="24"/>
        </w:rPr>
        <w:t>明显低于其他通过符合性审查</w:t>
      </w:r>
      <w:r>
        <w:rPr>
          <w:rFonts w:hint="eastAsia" w:ascii="宋体" w:hAnsi="宋体"/>
          <w:b/>
          <w:sz w:val="24"/>
          <w:lang w:eastAsia="zh-CN"/>
        </w:rPr>
        <w:t>投标单位</w:t>
      </w:r>
      <w:r>
        <w:rPr>
          <w:rFonts w:hint="eastAsia" w:ascii="宋体" w:hAnsi="宋体"/>
          <w:b/>
          <w:sz w:val="24"/>
        </w:rPr>
        <w:t>的报价，有可能影响产品质量或者不能诚信履约的，应当要求其在评标现场合理的时间内提供书面说明，必要时提交相关证明材料，</w:t>
      </w:r>
      <w:r>
        <w:rPr>
          <w:rFonts w:hint="eastAsia" w:ascii="宋体" w:hAnsi="宋体"/>
          <w:b/>
          <w:sz w:val="24"/>
          <w:lang w:eastAsia="zh-CN"/>
        </w:rPr>
        <w:t>投标单位</w:t>
      </w:r>
      <w:r>
        <w:rPr>
          <w:rFonts w:hint="eastAsia" w:ascii="宋体" w:hAnsi="宋体"/>
          <w:b/>
          <w:sz w:val="24"/>
        </w:rPr>
        <w:t>不能证明其报价合理性的；</w:t>
      </w:r>
    </w:p>
    <w:p>
      <w:pPr>
        <w:tabs>
          <w:tab w:val="left" w:pos="3870"/>
          <w:tab w:val="left" w:pos="4085"/>
        </w:tabs>
        <w:snapToGrid w:val="0"/>
        <w:spacing w:line="360" w:lineRule="auto"/>
        <w:jc w:val="left"/>
        <w:rPr>
          <w:rFonts w:hint="eastAsia" w:ascii="宋体" w:hAnsi="宋体"/>
          <w:b/>
          <w:sz w:val="24"/>
        </w:rPr>
      </w:pPr>
      <w:r>
        <w:rPr>
          <w:rFonts w:hint="eastAsia" w:ascii="宋体" w:hAnsi="宋体"/>
          <w:b/>
          <w:sz w:val="24"/>
        </w:rPr>
        <w:t>8.12最后报价超过预算金额或上限价的；</w:t>
      </w:r>
    </w:p>
    <w:p>
      <w:pPr>
        <w:tabs>
          <w:tab w:val="left" w:pos="3870"/>
          <w:tab w:val="left" w:pos="4085"/>
        </w:tabs>
        <w:snapToGrid w:val="0"/>
        <w:spacing w:line="360" w:lineRule="auto"/>
        <w:jc w:val="left"/>
        <w:rPr>
          <w:rFonts w:hint="eastAsia" w:ascii="宋体" w:hAnsi="宋体"/>
          <w:b/>
          <w:sz w:val="24"/>
        </w:rPr>
      </w:pPr>
      <w:r>
        <w:rPr>
          <w:rFonts w:hint="eastAsia" w:ascii="宋体" w:hAnsi="宋体"/>
          <w:b/>
          <w:sz w:val="24"/>
        </w:rPr>
        <w:t>8.13磋商小组认定有重大偏差或实质性不响应磋商文件要求的；</w:t>
      </w:r>
    </w:p>
    <w:p>
      <w:pPr>
        <w:tabs>
          <w:tab w:val="left" w:pos="3870"/>
          <w:tab w:val="left" w:pos="4085"/>
        </w:tabs>
        <w:snapToGrid w:val="0"/>
        <w:spacing w:line="360" w:lineRule="auto"/>
        <w:jc w:val="left"/>
        <w:rPr>
          <w:rFonts w:hint="eastAsia" w:ascii="宋体" w:hAnsi="宋体"/>
          <w:b/>
          <w:sz w:val="24"/>
        </w:rPr>
      </w:pPr>
      <w:r>
        <w:rPr>
          <w:rFonts w:hint="eastAsia" w:ascii="宋体" w:hAnsi="宋体"/>
          <w:b/>
          <w:sz w:val="24"/>
        </w:rPr>
        <w:t>8.14其他违反法律、法规的情形。</w:t>
      </w:r>
    </w:p>
    <w:p>
      <w:pPr>
        <w:spacing w:line="360" w:lineRule="auto"/>
        <w:jc w:val="center"/>
        <w:rPr>
          <w:rFonts w:hint="eastAsia" w:ascii="宋体" w:hAnsi="宋体"/>
          <w:b/>
          <w:sz w:val="32"/>
          <w:szCs w:val="32"/>
        </w:rPr>
      </w:pPr>
      <w:r>
        <w:rPr>
          <w:rFonts w:hint="eastAsia" w:ascii="宋体" w:hAnsi="宋体"/>
          <w:b/>
          <w:sz w:val="32"/>
          <w:szCs w:val="32"/>
        </w:rPr>
        <w:t>三、磋商和评审</w:t>
      </w:r>
    </w:p>
    <w:p>
      <w:pPr>
        <w:snapToGrid w:val="0"/>
        <w:spacing w:line="360" w:lineRule="auto"/>
        <w:jc w:val="left"/>
        <w:rPr>
          <w:rFonts w:hint="eastAsia" w:ascii="宋体" w:hAnsi="宋体"/>
          <w:sz w:val="24"/>
        </w:rPr>
      </w:pPr>
      <w:r>
        <w:rPr>
          <w:rFonts w:hint="eastAsia" w:ascii="宋体" w:hAnsi="宋体"/>
          <w:sz w:val="24"/>
        </w:rPr>
        <w:t>1．磋商程序</w:t>
      </w:r>
    </w:p>
    <w:p>
      <w:pPr>
        <w:snapToGrid w:val="0"/>
        <w:spacing w:line="360" w:lineRule="auto"/>
        <w:jc w:val="left"/>
        <w:rPr>
          <w:rFonts w:hint="eastAsia" w:ascii="宋体" w:hAnsi="宋体"/>
          <w:sz w:val="24"/>
        </w:rPr>
      </w:pPr>
      <w:r>
        <w:rPr>
          <w:rFonts w:hint="eastAsia" w:ascii="宋体" w:hAnsi="宋体"/>
          <w:sz w:val="24"/>
        </w:rPr>
        <w:t xml:space="preserve">1.1 </w:t>
      </w:r>
      <w:r>
        <w:rPr>
          <w:rFonts w:hint="eastAsia" w:ascii="宋体" w:hAnsi="宋体"/>
          <w:sz w:val="24"/>
          <w:lang w:eastAsia="zh-CN"/>
        </w:rPr>
        <w:t>投标单位</w:t>
      </w:r>
      <w:r>
        <w:rPr>
          <w:rFonts w:hint="eastAsia" w:ascii="宋体" w:hAnsi="宋体"/>
          <w:sz w:val="24"/>
        </w:rPr>
        <w:t>法人代表或其授权代表必须在磋商文件规定的时间出席磋商。</w:t>
      </w:r>
    </w:p>
    <w:p>
      <w:pPr>
        <w:snapToGrid w:val="0"/>
        <w:spacing w:line="360" w:lineRule="auto"/>
        <w:jc w:val="left"/>
        <w:rPr>
          <w:rFonts w:hint="eastAsia" w:ascii="宋体" w:hAnsi="宋体"/>
          <w:sz w:val="24"/>
        </w:rPr>
      </w:pPr>
      <w:r>
        <w:rPr>
          <w:rFonts w:hint="eastAsia" w:ascii="宋体" w:hAnsi="宋体"/>
          <w:sz w:val="24"/>
        </w:rPr>
        <w:t>1.2 采购人将根据磋商项目特点组建磋商小组，磋商小组由采购人代表和有关专家共三人及以上的单数组成，对磋商响应文件进行评估和比较。</w:t>
      </w:r>
    </w:p>
    <w:p>
      <w:pPr>
        <w:snapToGrid w:val="0"/>
        <w:spacing w:line="360" w:lineRule="auto"/>
        <w:jc w:val="left"/>
        <w:rPr>
          <w:rFonts w:hint="eastAsia" w:ascii="宋体" w:hAnsi="宋体"/>
          <w:sz w:val="24"/>
        </w:rPr>
      </w:pPr>
      <w:r>
        <w:rPr>
          <w:rFonts w:hint="eastAsia" w:ascii="宋体" w:hAnsi="宋体"/>
          <w:sz w:val="24"/>
        </w:rPr>
        <w:t>1.3按照抽签方式确定各</w:t>
      </w:r>
      <w:r>
        <w:rPr>
          <w:rFonts w:hint="eastAsia" w:ascii="宋体" w:hAnsi="宋体"/>
          <w:sz w:val="24"/>
          <w:lang w:eastAsia="zh-CN"/>
        </w:rPr>
        <w:t>投标单位</w:t>
      </w:r>
      <w:r>
        <w:rPr>
          <w:rFonts w:hint="eastAsia" w:ascii="宋体" w:hAnsi="宋体"/>
          <w:sz w:val="24"/>
        </w:rPr>
        <w:t>磋商</w:t>
      </w:r>
      <w:r>
        <w:rPr>
          <w:rFonts w:hint="eastAsia" w:ascii="宋体" w:hAnsi="宋体"/>
          <w:color w:val="auto"/>
          <w:sz w:val="24"/>
        </w:rPr>
        <w:t>顺序。</w:t>
      </w:r>
    </w:p>
    <w:p>
      <w:pPr>
        <w:snapToGrid w:val="0"/>
        <w:spacing w:line="360" w:lineRule="auto"/>
        <w:jc w:val="left"/>
        <w:rPr>
          <w:rFonts w:hint="eastAsia" w:ascii="宋体" w:hAnsi="宋体"/>
          <w:sz w:val="24"/>
        </w:rPr>
      </w:pPr>
      <w:r>
        <w:rPr>
          <w:rFonts w:hint="eastAsia" w:ascii="宋体" w:hAnsi="宋体"/>
          <w:sz w:val="24"/>
        </w:rPr>
        <w:t>1.4磋商小组与单一</w:t>
      </w:r>
      <w:r>
        <w:rPr>
          <w:rFonts w:hint="eastAsia" w:ascii="宋体" w:hAnsi="宋体"/>
          <w:sz w:val="24"/>
          <w:lang w:eastAsia="zh-CN"/>
        </w:rPr>
        <w:t>投标单位</w:t>
      </w:r>
      <w:r>
        <w:rPr>
          <w:rFonts w:hint="eastAsia" w:ascii="宋体" w:hAnsi="宋体"/>
          <w:sz w:val="24"/>
        </w:rPr>
        <w:t>分别进行磋商。（磋商时</w:t>
      </w:r>
      <w:r>
        <w:rPr>
          <w:rFonts w:hint="eastAsia" w:ascii="宋体" w:hAnsi="宋体"/>
          <w:sz w:val="24"/>
          <w:lang w:eastAsia="zh-CN"/>
        </w:rPr>
        <w:t>投标单位</w:t>
      </w:r>
      <w:r>
        <w:rPr>
          <w:rFonts w:hint="eastAsia" w:ascii="宋体" w:hAnsi="宋体"/>
          <w:sz w:val="24"/>
        </w:rPr>
        <w:t>的技术资料、价格和其他信息在评审、磋商过程中保密）</w:t>
      </w:r>
    </w:p>
    <w:p>
      <w:pPr>
        <w:snapToGrid w:val="0"/>
        <w:spacing w:line="360" w:lineRule="auto"/>
        <w:jc w:val="left"/>
        <w:rPr>
          <w:rFonts w:hint="eastAsia" w:ascii="宋体" w:hAnsi="宋体"/>
          <w:sz w:val="24"/>
        </w:rPr>
      </w:pPr>
      <w:r>
        <w:rPr>
          <w:rFonts w:hint="eastAsia" w:ascii="宋体" w:hAnsi="宋体"/>
          <w:bCs/>
          <w:sz w:val="24"/>
        </w:rPr>
        <w:t>1.5磋商小组视情对</w:t>
      </w:r>
      <w:r>
        <w:rPr>
          <w:rFonts w:hint="eastAsia" w:ascii="宋体" w:hAnsi="宋体"/>
          <w:bCs/>
          <w:sz w:val="24"/>
          <w:lang w:eastAsia="zh-CN"/>
        </w:rPr>
        <w:t>投标单位</w:t>
      </w:r>
      <w:r>
        <w:rPr>
          <w:rFonts w:hint="eastAsia" w:ascii="宋体" w:hAnsi="宋体"/>
          <w:sz w:val="24"/>
        </w:rPr>
        <w:t>资质及合同进行最终核验，法定代表人或其授权代表必须到场。</w:t>
      </w:r>
    </w:p>
    <w:p>
      <w:pPr>
        <w:snapToGrid w:val="0"/>
        <w:spacing w:line="360" w:lineRule="auto"/>
        <w:jc w:val="left"/>
        <w:rPr>
          <w:rFonts w:hint="eastAsia" w:ascii="宋体" w:hAnsi="宋体"/>
          <w:sz w:val="24"/>
        </w:rPr>
      </w:pPr>
      <w:r>
        <w:rPr>
          <w:rFonts w:hint="eastAsia" w:ascii="宋体" w:hAnsi="宋体"/>
          <w:sz w:val="24"/>
        </w:rPr>
        <w:t>1.6磋商小组要求所有实质性响应的</w:t>
      </w:r>
      <w:r>
        <w:rPr>
          <w:rFonts w:hint="eastAsia" w:ascii="宋体" w:hAnsi="宋体"/>
          <w:sz w:val="24"/>
          <w:lang w:eastAsia="zh-CN"/>
        </w:rPr>
        <w:t>投标单位</w:t>
      </w:r>
      <w:r>
        <w:rPr>
          <w:rFonts w:hint="eastAsia" w:ascii="宋体" w:hAnsi="宋体"/>
          <w:sz w:val="24"/>
        </w:rPr>
        <w:t>在规定时间内提交最后报价。</w:t>
      </w:r>
    </w:p>
    <w:p>
      <w:pPr>
        <w:snapToGrid w:val="0"/>
        <w:spacing w:line="360" w:lineRule="auto"/>
        <w:jc w:val="left"/>
        <w:rPr>
          <w:rFonts w:hint="eastAsia" w:ascii="宋体" w:hAnsi="宋体"/>
          <w:sz w:val="24"/>
        </w:rPr>
      </w:pPr>
      <w:r>
        <w:rPr>
          <w:rFonts w:hint="eastAsia" w:ascii="宋体" w:hAnsi="宋体"/>
          <w:sz w:val="24"/>
        </w:rPr>
        <w:t>1.7由磋商小组采用综合评分法对提交最后报价的</w:t>
      </w:r>
      <w:r>
        <w:rPr>
          <w:rFonts w:hint="eastAsia" w:ascii="宋体" w:hAnsi="宋体"/>
          <w:sz w:val="24"/>
          <w:lang w:eastAsia="zh-CN"/>
        </w:rPr>
        <w:t>投标单位</w:t>
      </w:r>
      <w:r>
        <w:rPr>
          <w:rFonts w:hint="eastAsia" w:ascii="宋体" w:hAnsi="宋体"/>
          <w:sz w:val="24"/>
        </w:rPr>
        <w:t>的响应文件和最后报价进行综合评分，在符合采购需求、质量和服务要求的前提下，按总得分从高到低顺序推荐确定中标候选人。</w:t>
      </w:r>
    </w:p>
    <w:p>
      <w:pPr>
        <w:snapToGrid w:val="0"/>
        <w:spacing w:line="360" w:lineRule="auto"/>
        <w:jc w:val="left"/>
        <w:rPr>
          <w:rFonts w:hint="eastAsia" w:ascii="宋体" w:hAnsi="宋体"/>
          <w:sz w:val="24"/>
        </w:rPr>
      </w:pPr>
      <w:r>
        <w:rPr>
          <w:rFonts w:hint="eastAsia" w:ascii="宋体" w:hAnsi="宋体"/>
          <w:sz w:val="24"/>
        </w:rPr>
        <w:t>2.磋商由</w:t>
      </w:r>
      <w:r>
        <w:rPr>
          <w:rFonts w:hint="eastAsia" w:ascii="宋体" w:hAnsi="宋体"/>
          <w:sz w:val="24"/>
          <w:lang w:eastAsia="zh-CN"/>
        </w:rPr>
        <w:t>泰宇建筑工程技术咨询有限公司绍兴分公司</w:t>
      </w:r>
      <w:r>
        <w:rPr>
          <w:rFonts w:hint="eastAsia" w:ascii="宋体" w:hAnsi="宋体"/>
          <w:sz w:val="24"/>
        </w:rPr>
        <w:t>主持。</w:t>
      </w:r>
    </w:p>
    <w:p>
      <w:pPr>
        <w:snapToGrid w:val="0"/>
        <w:spacing w:line="360" w:lineRule="auto"/>
        <w:jc w:val="left"/>
        <w:rPr>
          <w:rFonts w:hint="eastAsia" w:ascii="宋体" w:hAnsi="宋体"/>
          <w:b/>
          <w:sz w:val="24"/>
        </w:rPr>
      </w:pPr>
      <w:r>
        <w:rPr>
          <w:rFonts w:hint="eastAsia" w:ascii="宋体" w:hAnsi="宋体"/>
          <w:sz w:val="24"/>
        </w:rPr>
        <w:t>3.磋商响应文件启封前，</w:t>
      </w:r>
      <w:r>
        <w:rPr>
          <w:rFonts w:hint="eastAsia" w:ascii="宋体" w:hAnsi="宋体"/>
          <w:sz w:val="24"/>
          <w:lang w:eastAsia="zh-CN"/>
        </w:rPr>
        <w:t>投标单位</w:t>
      </w:r>
      <w:r>
        <w:rPr>
          <w:rFonts w:hint="eastAsia" w:ascii="宋体" w:hAnsi="宋体"/>
          <w:sz w:val="24"/>
        </w:rPr>
        <w:t>授权代表应书面提出对参加磋商主持人、唱读人、记录人和监督人是否有回避的请求。</w:t>
      </w:r>
    </w:p>
    <w:p>
      <w:pPr>
        <w:spacing w:line="360" w:lineRule="auto"/>
        <w:jc w:val="left"/>
        <w:rPr>
          <w:rFonts w:hint="eastAsia" w:ascii="宋体" w:hAnsi="宋体" w:cs="宋体"/>
          <w:b/>
          <w:bCs/>
          <w:sz w:val="24"/>
        </w:rPr>
      </w:pPr>
      <w:r>
        <w:rPr>
          <w:rFonts w:hint="eastAsia" w:ascii="宋体" w:hAnsi="宋体" w:cs="宋体"/>
          <w:b/>
          <w:bCs/>
          <w:sz w:val="24"/>
        </w:rPr>
        <w:t>4．磋商内容</w:t>
      </w:r>
    </w:p>
    <w:p>
      <w:pPr>
        <w:spacing w:line="360" w:lineRule="auto"/>
        <w:jc w:val="left"/>
        <w:rPr>
          <w:rFonts w:hint="eastAsia" w:ascii="宋体" w:hAnsi="宋体" w:cs="宋体"/>
          <w:sz w:val="24"/>
        </w:rPr>
      </w:pPr>
      <w:r>
        <w:rPr>
          <w:rFonts w:hint="eastAsia" w:ascii="宋体" w:hAnsi="宋体" w:cs="宋体"/>
          <w:sz w:val="24"/>
        </w:rPr>
        <w:t>4.1本次磋商内容为在磋商文件范围内就</w:t>
      </w:r>
      <w:r>
        <w:rPr>
          <w:rFonts w:hint="eastAsia" w:ascii="宋体" w:hAnsi="宋体" w:cs="宋体"/>
          <w:sz w:val="24"/>
          <w:lang w:eastAsia="zh-CN"/>
        </w:rPr>
        <w:t>投标单位</w:t>
      </w:r>
      <w:r>
        <w:rPr>
          <w:rFonts w:hint="eastAsia" w:ascii="宋体" w:hAnsi="宋体" w:cs="宋体"/>
          <w:sz w:val="24"/>
        </w:rPr>
        <w:t>的磋商响应文件，磋商小组与</w:t>
      </w:r>
      <w:r>
        <w:rPr>
          <w:rFonts w:hint="eastAsia" w:ascii="宋体" w:hAnsi="宋体" w:cs="宋体"/>
          <w:sz w:val="24"/>
          <w:lang w:eastAsia="zh-CN"/>
        </w:rPr>
        <w:t>投标单位</w:t>
      </w:r>
      <w:r>
        <w:rPr>
          <w:rFonts w:hint="eastAsia" w:ascii="宋体" w:hAnsi="宋体" w:cs="宋体"/>
          <w:sz w:val="24"/>
        </w:rPr>
        <w:t>在技术、价格、服务、合同等问题进行磋商，最终确定成交与否。</w:t>
      </w:r>
    </w:p>
    <w:p>
      <w:pPr>
        <w:spacing w:line="360" w:lineRule="auto"/>
        <w:jc w:val="left"/>
        <w:rPr>
          <w:rFonts w:hint="eastAsia" w:ascii="宋体" w:hAnsi="宋体" w:cs="宋体"/>
          <w:sz w:val="24"/>
        </w:rPr>
      </w:pPr>
      <w:r>
        <w:rPr>
          <w:rFonts w:hint="eastAsia" w:ascii="宋体" w:hAnsi="宋体" w:cs="宋体"/>
          <w:sz w:val="24"/>
        </w:rPr>
        <w:t>4.2磋商应作书面记录，</w:t>
      </w:r>
      <w:r>
        <w:rPr>
          <w:rFonts w:hint="eastAsia" w:ascii="宋体" w:hAnsi="宋体" w:cs="宋体"/>
          <w:sz w:val="24"/>
          <w:lang w:eastAsia="zh-CN"/>
        </w:rPr>
        <w:t>投标单位</w:t>
      </w:r>
      <w:r>
        <w:rPr>
          <w:rFonts w:hint="eastAsia" w:ascii="宋体" w:hAnsi="宋体" w:cs="宋体"/>
          <w:sz w:val="24"/>
        </w:rPr>
        <w:t>并就磋商内容作出书面承诺，并由</w:t>
      </w:r>
      <w:r>
        <w:rPr>
          <w:rFonts w:hint="eastAsia" w:ascii="宋体" w:hAnsi="宋体" w:cs="宋体"/>
          <w:sz w:val="24"/>
          <w:lang w:eastAsia="zh-CN"/>
        </w:rPr>
        <w:t>投标单位</w:t>
      </w:r>
      <w:r>
        <w:rPr>
          <w:rFonts w:hint="eastAsia" w:ascii="宋体" w:hAnsi="宋体" w:cs="宋体"/>
          <w:sz w:val="24"/>
        </w:rPr>
        <w:t>法定代表人或其授权委托人签字后生效，作为磋商响应文件的一部分。</w:t>
      </w:r>
    </w:p>
    <w:p>
      <w:pPr>
        <w:spacing w:line="360" w:lineRule="auto"/>
        <w:jc w:val="left"/>
        <w:rPr>
          <w:rFonts w:hint="eastAsia" w:ascii="宋体" w:hAnsi="宋体" w:cs="宋体"/>
          <w:sz w:val="24"/>
        </w:rPr>
      </w:pPr>
      <w:r>
        <w:rPr>
          <w:rFonts w:hint="eastAsia" w:ascii="宋体" w:hAnsi="宋体" w:cs="宋体"/>
          <w:sz w:val="24"/>
        </w:rPr>
        <w:t>4.3磋商文件有实质性变动的，磋商小组以书面形式通知所有参加磋商的</w:t>
      </w:r>
      <w:r>
        <w:rPr>
          <w:rFonts w:hint="eastAsia" w:ascii="宋体" w:hAnsi="宋体" w:cs="宋体"/>
          <w:sz w:val="24"/>
          <w:lang w:eastAsia="zh-CN"/>
        </w:rPr>
        <w:t>投标单位</w:t>
      </w:r>
      <w:r>
        <w:rPr>
          <w:rFonts w:hint="eastAsia" w:ascii="宋体" w:hAnsi="宋体" w:cs="宋体"/>
          <w:sz w:val="24"/>
        </w:rPr>
        <w:t>。</w:t>
      </w:r>
    </w:p>
    <w:p>
      <w:pPr>
        <w:spacing w:line="360" w:lineRule="auto"/>
        <w:jc w:val="left"/>
        <w:rPr>
          <w:rFonts w:hint="eastAsia" w:ascii="宋体" w:hAnsi="宋体" w:cs="宋体"/>
          <w:b/>
          <w:bCs/>
          <w:sz w:val="24"/>
        </w:rPr>
      </w:pPr>
      <w:r>
        <w:rPr>
          <w:rFonts w:hint="eastAsia" w:ascii="宋体" w:hAnsi="宋体" w:cs="宋体"/>
          <w:b/>
          <w:bCs/>
          <w:sz w:val="24"/>
        </w:rPr>
        <w:t>5．评审</w:t>
      </w:r>
    </w:p>
    <w:p>
      <w:pPr>
        <w:spacing w:line="360" w:lineRule="auto"/>
        <w:jc w:val="left"/>
        <w:rPr>
          <w:rFonts w:hint="eastAsia" w:ascii="宋体" w:hAnsi="宋体" w:cs="宋体"/>
          <w:sz w:val="24"/>
        </w:rPr>
      </w:pPr>
      <w:r>
        <w:rPr>
          <w:rFonts w:hint="eastAsia" w:ascii="宋体" w:hAnsi="宋体" w:cs="宋体"/>
          <w:sz w:val="24"/>
        </w:rPr>
        <w:t>5.1磋商小组由采购人、采购代理机构依法组建，负责评审活动。磋商小组遵循公开、公平、公正、科学合理、竞争择优的原则。</w:t>
      </w:r>
    </w:p>
    <w:p>
      <w:pPr>
        <w:spacing w:line="360" w:lineRule="auto"/>
        <w:jc w:val="left"/>
        <w:rPr>
          <w:rFonts w:hint="eastAsia" w:ascii="宋体" w:hAnsi="宋体" w:cs="宋体"/>
          <w:sz w:val="24"/>
        </w:rPr>
      </w:pPr>
      <w:r>
        <w:rPr>
          <w:rFonts w:hint="eastAsia" w:ascii="宋体" w:hAnsi="宋体" w:cs="宋体"/>
          <w:sz w:val="24"/>
        </w:rPr>
        <w:t>5.2磋商小组由采购人代表和有关方面的专家组成，成员人数为3人及以上单数。</w:t>
      </w:r>
    </w:p>
    <w:p>
      <w:pPr>
        <w:spacing w:line="360" w:lineRule="auto"/>
        <w:jc w:val="left"/>
        <w:rPr>
          <w:rFonts w:hint="eastAsia" w:ascii="宋体" w:hAnsi="宋体" w:cs="宋体"/>
          <w:sz w:val="24"/>
        </w:rPr>
      </w:pPr>
      <w:r>
        <w:rPr>
          <w:rFonts w:hint="eastAsia" w:ascii="宋体" w:hAnsi="宋体" w:cs="宋体"/>
          <w:sz w:val="24"/>
        </w:rPr>
        <w:t>5.3磋商小组负责对</w:t>
      </w:r>
      <w:r>
        <w:rPr>
          <w:rFonts w:hint="eastAsia" w:ascii="宋体" w:hAnsi="宋体" w:cs="宋体"/>
          <w:sz w:val="24"/>
          <w:lang w:eastAsia="zh-CN"/>
        </w:rPr>
        <w:t>投标单位</w:t>
      </w:r>
      <w:r>
        <w:rPr>
          <w:rFonts w:hint="eastAsia" w:ascii="宋体" w:hAnsi="宋体" w:cs="宋体"/>
          <w:sz w:val="24"/>
        </w:rPr>
        <w:t>资格的最终审定。</w:t>
      </w:r>
    </w:p>
    <w:p>
      <w:pPr>
        <w:spacing w:line="360" w:lineRule="auto"/>
        <w:jc w:val="left"/>
        <w:rPr>
          <w:rFonts w:hint="eastAsia" w:ascii="宋体" w:hAnsi="宋体"/>
          <w:sz w:val="24"/>
        </w:rPr>
      </w:pPr>
      <w:r>
        <w:rPr>
          <w:rFonts w:hint="eastAsia" w:ascii="宋体" w:hAnsi="宋体"/>
          <w:sz w:val="24"/>
        </w:rPr>
        <w:t>5.4磋商小组可以要求</w:t>
      </w:r>
      <w:r>
        <w:rPr>
          <w:rFonts w:hint="eastAsia" w:ascii="宋体" w:hAnsi="宋体"/>
          <w:sz w:val="24"/>
          <w:lang w:eastAsia="zh-CN"/>
        </w:rPr>
        <w:t>投标单位</w:t>
      </w:r>
      <w:r>
        <w:rPr>
          <w:rFonts w:hint="eastAsia" w:ascii="宋体" w:hAnsi="宋体"/>
          <w:sz w:val="24"/>
        </w:rPr>
        <w:t>对其磋商响应文件中含义不明确的内容作必要的澄清或者说明，但澄清或者说明不得超过磋商响应文件的范围或者改变磋商响应文件的实质性内容。</w:t>
      </w:r>
    </w:p>
    <w:p>
      <w:pPr>
        <w:widowControl/>
        <w:snapToGrid w:val="0"/>
        <w:spacing w:line="360" w:lineRule="auto"/>
        <w:rPr>
          <w:rFonts w:hint="eastAsia" w:ascii="宋体" w:hAnsi="宋体"/>
          <w:kern w:val="0"/>
          <w:sz w:val="24"/>
        </w:rPr>
      </w:pPr>
      <w:r>
        <w:rPr>
          <w:rFonts w:hint="eastAsia" w:ascii="宋体" w:hAnsi="宋体"/>
          <w:kern w:val="0"/>
          <w:sz w:val="24"/>
        </w:rPr>
        <w:t>5.5</w:t>
      </w:r>
      <w:r>
        <w:rPr>
          <w:rFonts w:hint="eastAsia" w:ascii="宋体" w:hAnsi="宋体"/>
          <w:sz w:val="24"/>
        </w:rPr>
        <w:t>磋商小组</w:t>
      </w:r>
      <w:r>
        <w:rPr>
          <w:rFonts w:hint="eastAsia" w:ascii="宋体" w:hAnsi="宋体"/>
          <w:kern w:val="0"/>
          <w:sz w:val="24"/>
        </w:rPr>
        <w:t>对磋商响应文件的判定，只依据磋商响应文件和磋商文件内容本身，不依据任何外来证明。</w:t>
      </w:r>
    </w:p>
    <w:p>
      <w:pPr>
        <w:widowControl/>
        <w:snapToGrid w:val="0"/>
        <w:spacing w:line="360" w:lineRule="auto"/>
        <w:rPr>
          <w:rFonts w:hint="eastAsia" w:ascii="宋体" w:hAnsi="宋体"/>
          <w:kern w:val="0"/>
          <w:sz w:val="24"/>
        </w:rPr>
      </w:pPr>
      <w:r>
        <w:rPr>
          <w:rFonts w:hint="eastAsia" w:ascii="宋体" w:hAnsi="宋体" w:cs="宋体"/>
          <w:sz w:val="24"/>
        </w:rPr>
        <w:t>5.6磋商小组不向落标方解释落标的原因，不退还磋商响应文件。</w:t>
      </w:r>
    </w:p>
    <w:p>
      <w:pPr>
        <w:snapToGrid w:val="0"/>
        <w:spacing w:line="360" w:lineRule="auto"/>
        <w:jc w:val="left"/>
        <w:rPr>
          <w:rFonts w:hint="eastAsia" w:ascii="宋体" w:hAnsi="宋体"/>
          <w:b/>
          <w:sz w:val="24"/>
        </w:rPr>
      </w:pPr>
      <w:r>
        <w:rPr>
          <w:rFonts w:hint="eastAsia" w:ascii="宋体" w:hAnsi="宋体"/>
          <w:b/>
          <w:sz w:val="24"/>
        </w:rPr>
        <w:t>6．磋商响应文件的初审鉴定</w:t>
      </w:r>
    </w:p>
    <w:p>
      <w:pPr>
        <w:snapToGrid w:val="0"/>
        <w:spacing w:line="360" w:lineRule="auto"/>
        <w:jc w:val="left"/>
        <w:rPr>
          <w:rFonts w:hint="eastAsia" w:ascii="宋体" w:hAnsi="宋体"/>
          <w:sz w:val="24"/>
        </w:rPr>
      </w:pPr>
      <w:r>
        <w:rPr>
          <w:rFonts w:hint="eastAsia" w:ascii="宋体" w:hAnsi="宋体"/>
          <w:sz w:val="24"/>
        </w:rPr>
        <w:t>6.1资格性审查</w:t>
      </w:r>
    </w:p>
    <w:p>
      <w:pPr>
        <w:snapToGrid w:val="0"/>
        <w:spacing w:line="360" w:lineRule="auto"/>
        <w:jc w:val="left"/>
        <w:rPr>
          <w:rFonts w:hint="eastAsia" w:ascii="宋体" w:hAnsi="宋体"/>
          <w:sz w:val="24"/>
        </w:rPr>
      </w:pPr>
      <w:r>
        <w:rPr>
          <w:rFonts w:hint="eastAsia" w:ascii="宋体" w:hAnsi="宋体"/>
          <w:sz w:val="24"/>
        </w:rPr>
        <w:t>6.1.1依据法律、法规和磋商文件规定，对磋商响应文件中对资格证明、磋商保证金等进行审查，以确定</w:t>
      </w:r>
      <w:r>
        <w:rPr>
          <w:rFonts w:hint="eastAsia" w:ascii="宋体" w:hAnsi="宋体"/>
          <w:sz w:val="24"/>
          <w:lang w:eastAsia="zh-CN"/>
        </w:rPr>
        <w:t>投标单位</w:t>
      </w:r>
      <w:r>
        <w:rPr>
          <w:rFonts w:hint="eastAsia" w:ascii="宋体" w:hAnsi="宋体"/>
          <w:sz w:val="24"/>
        </w:rPr>
        <w:t>是否具备磋商资格。</w:t>
      </w:r>
    </w:p>
    <w:p>
      <w:pPr>
        <w:spacing w:line="360" w:lineRule="auto"/>
        <w:jc w:val="left"/>
        <w:rPr>
          <w:rFonts w:hint="eastAsia" w:ascii="宋体" w:hAnsi="宋体" w:cs="宋体"/>
          <w:sz w:val="24"/>
        </w:rPr>
      </w:pPr>
      <w:r>
        <w:rPr>
          <w:rFonts w:hint="eastAsia" w:ascii="宋体" w:hAnsi="宋体" w:cs="宋体"/>
          <w:sz w:val="24"/>
        </w:rPr>
        <w:t>6.2符合性审查</w:t>
      </w:r>
    </w:p>
    <w:p>
      <w:pPr>
        <w:spacing w:line="360" w:lineRule="auto"/>
        <w:jc w:val="left"/>
        <w:rPr>
          <w:rFonts w:hint="eastAsia" w:ascii="宋体" w:hAnsi="宋体" w:cs="宋体"/>
          <w:sz w:val="24"/>
        </w:rPr>
      </w:pPr>
      <w:r>
        <w:rPr>
          <w:rFonts w:hint="eastAsia" w:ascii="宋体" w:hAnsi="宋体" w:cs="宋体"/>
          <w:sz w:val="24"/>
        </w:rPr>
        <w:t>6.2.1磋商时，磋商小组将首先评定每份磋商响应文件是否在实质上响应了磋商文件要求。所谓实质上的响应，是指磋商响应文件与磋商文件的所有实质性条款、条件和要求相符，无显著差异或保留，或者对合同中约定的采购人的权利和</w:t>
      </w:r>
      <w:r>
        <w:rPr>
          <w:rFonts w:hint="eastAsia" w:ascii="宋体" w:hAnsi="宋体" w:cs="宋体"/>
          <w:sz w:val="24"/>
          <w:lang w:eastAsia="zh-CN"/>
        </w:rPr>
        <w:t>投标单位</w:t>
      </w:r>
      <w:r>
        <w:rPr>
          <w:rFonts w:hint="eastAsia" w:ascii="宋体" w:hAnsi="宋体" w:cs="宋体"/>
          <w:sz w:val="24"/>
        </w:rPr>
        <w:t>的义务方面造成重大的限制，纠正这些显著差异或保留将会对其他实质上响应磋商文件要求的</w:t>
      </w:r>
      <w:r>
        <w:rPr>
          <w:rFonts w:hint="eastAsia" w:ascii="宋体" w:hAnsi="宋体" w:cs="宋体"/>
          <w:sz w:val="24"/>
          <w:lang w:eastAsia="zh-CN"/>
        </w:rPr>
        <w:t>投标单位</w:t>
      </w:r>
      <w:r>
        <w:rPr>
          <w:rFonts w:hint="eastAsia" w:ascii="宋体" w:hAnsi="宋体" w:cs="宋体"/>
          <w:sz w:val="24"/>
        </w:rPr>
        <w:t>的竞争地位产生不公正的影响。</w:t>
      </w:r>
    </w:p>
    <w:p>
      <w:pPr>
        <w:spacing w:line="360" w:lineRule="auto"/>
        <w:jc w:val="left"/>
        <w:rPr>
          <w:rFonts w:hint="eastAsia" w:ascii="宋体" w:hAnsi="宋体" w:cs="宋体"/>
          <w:sz w:val="24"/>
        </w:rPr>
      </w:pPr>
      <w:r>
        <w:rPr>
          <w:rFonts w:hint="eastAsia" w:ascii="宋体" w:hAnsi="宋体" w:cs="宋体"/>
          <w:sz w:val="24"/>
        </w:rPr>
        <w:t>6.3如果磋商响应文件实质不响应磋商文件的各项要求，磋商小组将予以拒绝，并且不允许</w:t>
      </w:r>
      <w:r>
        <w:rPr>
          <w:rFonts w:hint="eastAsia" w:ascii="宋体" w:hAnsi="宋体" w:cs="宋体"/>
          <w:sz w:val="24"/>
          <w:lang w:eastAsia="zh-CN"/>
        </w:rPr>
        <w:t>投标单位</w:t>
      </w:r>
      <w:r>
        <w:rPr>
          <w:rFonts w:hint="eastAsia" w:ascii="宋体" w:hAnsi="宋体" w:cs="宋体"/>
          <w:sz w:val="24"/>
        </w:rPr>
        <w:t>通过修改或撤销其不符合要求的差异或保留，使之成为具有响应性的磋商。</w:t>
      </w:r>
    </w:p>
    <w:p>
      <w:pPr>
        <w:widowControl/>
        <w:snapToGrid w:val="0"/>
        <w:spacing w:line="360" w:lineRule="auto"/>
        <w:rPr>
          <w:rFonts w:hint="eastAsia" w:ascii="宋体" w:hAnsi="宋体"/>
          <w:b/>
          <w:sz w:val="24"/>
        </w:rPr>
      </w:pPr>
      <w:r>
        <w:rPr>
          <w:rFonts w:hint="eastAsia" w:ascii="宋体" w:hAnsi="宋体"/>
          <w:b/>
          <w:sz w:val="24"/>
        </w:rPr>
        <w:t>7. 对投标文件报价出现前后不一致的，按下列规定修正</w:t>
      </w:r>
    </w:p>
    <w:p>
      <w:pPr>
        <w:widowControl/>
        <w:snapToGrid w:val="0"/>
        <w:spacing w:line="440" w:lineRule="exact"/>
        <w:rPr>
          <w:rFonts w:hint="eastAsia" w:ascii="宋体" w:hAnsi="宋体" w:cs="宋体"/>
          <w:sz w:val="24"/>
        </w:rPr>
      </w:pPr>
      <w:r>
        <w:rPr>
          <w:rFonts w:hint="eastAsia" w:ascii="宋体" w:hAnsi="宋体" w:cs="宋体"/>
          <w:sz w:val="24"/>
        </w:rPr>
        <w:t>7.1投标文件中开标一览表（报价表）内容与投标文件中相应内容不一致的，以开标一览表（报价表）为准；</w:t>
      </w:r>
    </w:p>
    <w:p>
      <w:pPr>
        <w:widowControl/>
        <w:snapToGrid w:val="0"/>
        <w:spacing w:line="440" w:lineRule="exact"/>
        <w:rPr>
          <w:rFonts w:hint="eastAsia" w:ascii="宋体" w:hAnsi="宋体" w:cs="宋体"/>
          <w:sz w:val="24"/>
        </w:rPr>
      </w:pPr>
      <w:r>
        <w:rPr>
          <w:rFonts w:hint="eastAsia" w:ascii="宋体" w:hAnsi="宋体" w:cs="宋体"/>
          <w:sz w:val="24"/>
        </w:rPr>
        <w:t>7.2大写金额和小写金额不一致的，以大写金额为准；</w:t>
      </w:r>
    </w:p>
    <w:p>
      <w:pPr>
        <w:widowControl/>
        <w:snapToGrid w:val="0"/>
        <w:spacing w:line="440" w:lineRule="exact"/>
        <w:rPr>
          <w:rFonts w:hint="eastAsia" w:ascii="宋体" w:hAnsi="宋体" w:cs="宋体"/>
          <w:sz w:val="24"/>
        </w:rPr>
      </w:pPr>
      <w:r>
        <w:rPr>
          <w:rFonts w:hint="eastAsia" w:ascii="宋体" w:hAnsi="宋体" w:cs="宋体"/>
          <w:sz w:val="24"/>
        </w:rPr>
        <w:t>7.3单价金额小数点或者百分比有明显错位的，以开标一览表的总价为准，并修改单价；</w:t>
      </w:r>
    </w:p>
    <w:p>
      <w:pPr>
        <w:widowControl/>
        <w:snapToGrid w:val="0"/>
        <w:spacing w:line="440" w:lineRule="exact"/>
        <w:rPr>
          <w:rFonts w:hint="eastAsia" w:ascii="宋体" w:hAnsi="宋体" w:cs="宋体"/>
          <w:sz w:val="24"/>
        </w:rPr>
      </w:pPr>
      <w:r>
        <w:rPr>
          <w:rFonts w:hint="eastAsia" w:ascii="宋体" w:hAnsi="宋体" w:cs="宋体"/>
          <w:sz w:val="24"/>
        </w:rPr>
        <w:t>7.4总价金额与按单价汇总金额不一致的，以单价金额计算结果为准。</w:t>
      </w:r>
    </w:p>
    <w:p>
      <w:pPr>
        <w:widowControl/>
        <w:snapToGrid w:val="0"/>
        <w:spacing w:line="440" w:lineRule="exact"/>
        <w:rPr>
          <w:rFonts w:hint="eastAsia" w:ascii="宋体" w:hAnsi="宋体" w:cs="宋体"/>
          <w:sz w:val="24"/>
        </w:rPr>
      </w:pPr>
      <w:r>
        <w:rPr>
          <w:rFonts w:hint="eastAsia" w:ascii="宋体" w:hAnsi="宋体" w:cs="宋体"/>
          <w:sz w:val="24"/>
        </w:rPr>
        <w:t>同时出现两种以上不一致的，按照前款规定的顺序修正。修正后的报价按照有关规定经投标人确认后产生约束力，投标人不确认的，其投标无效。</w:t>
      </w:r>
    </w:p>
    <w:p>
      <w:pPr>
        <w:spacing w:line="360" w:lineRule="auto"/>
        <w:jc w:val="left"/>
        <w:rPr>
          <w:rFonts w:hint="eastAsia" w:ascii="宋体" w:hAnsi="宋体" w:cs="宋体"/>
          <w:b/>
          <w:sz w:val="24"/>
        </w:rPr>
      </w:pPr>
      <w:r>
        <w:rPr>
          <w:rFonts w:hint="eastAsia" w:ascii="宋体" w:hAnsi="宋体" w:cs="宋体"/>
          <w:b/>
          <w:sz w:val="24"/>
        </w:rPr>
        <w:t>8.磋商响应文件的评审、比较和否决</w:t>
      </w:r>
    </w:p>
    <w:p>
      <w:pPr>
        <w:spacing w:line="360" w:lineRule="auto"/>
        <w:jc w:val="left"/>
        <w:rPr>
          <w:rFonts w:hint="eastAsia" w:ascii="宋体" w:hAnsi="宋体" w:cs="宋体"/>
          <w:sz w:val="24"/>
        </w:rPr>
      </w:pPr>
      <w:r>
        <w:rPr>
          <w:rFonts w:hint="eastAsia" w:ascii="宋体" w:hAnsi="宋体" w:cs="宋体"/>
          <w:sz w:val="24"/>
        </w:rPr>
        <w:t>8.1磋商小组将对在实质上响应磋商文件要求的磋商响应文件进行评估和比较。</w:t>
      </w:r>
    </w:p>
    <w:p>
      <w:pPr>
        <w:spacing w:line="360" w:lineRule="auto"/>
        <w:jc w:val="left"/>
        <w:rPr>
          <w:rFonts w:hint="eastAsia" w:ascii="宋体" w:hAnsi="宋体" w:cs="宋体"/>
          <w:sz w:val="24"/>
        </w:rPr>
      </w:pPr>
      <w:r>
        <w:rPr>
          <w:rFonts w:hint="eastAsia" w:ascii="宋体" w:hAnsi="宋体" w:cs="宋体"/>
          <w:sz w:val="24"/>
        </w:rPr>
        <w:t>8.2在评审过程中，磋商小组可以书面形式要求</w:t>
      </w:r>
      <w:r>
        <w:rPr>
          <w:rFonts w:hint="eastAsia" w:ascii="宋体" w:hAnsi="宋体" w:cs="宋体"/>
          <w:sz w:val="24"/>
          <w:lang w:eastAsia="zh-CN"/>
        </w:rPr>
        <w:t>投标单位</w:t>
      </w:r>
      <w:r>
        <w:rPr>
          <w:rFonts w:hint="eastAsia" w:ascii="宋体" w:hAnsi="宋体" w:cs="宋体"/>
          <w:sz w:val="24"/>
        </w:rPr>
        <w:t>就磋商响应文件含义不明确的内容进行书面说明并提供相关材料。</w:t>
      </w:r>
    </w:p>
    <w:p>
      <w:pPr>
        <w:spacing w:line="360" w:lineRule="auto"/>
        <w:jc w:val="left"/>
        <w:rPr>
          <w:rFonts w:hint="eastAsia" w:ascii="宋体" w:hAnsi="宋体" w:cs="宋体"/>
          <w:sz w:val="24"/>
        </w:rPr>
      </w:pPr>
      <w:r>
        <w:rPr>
          <w:rFonts w:hint="eastAsia" w:ascii="宋体" w:hAnsi="宋体" w:cs="宋体"/>
          <w:sz w:val="24"/>
        </w:rPr>
        <w:t>8.3在磋商过程中，如发现与磋商文件要求相偏离的，磋商小组应对其偏离情形进行必要的书面核实。</w:t>
      </w:r>
    </w:p>
    <w:p>
      <w:pPr>
        <w:spacing w:line="360" w:lineRule="auto"/>
        <w:jc w:val="left"/>
        <w:rPr>
          <w:rFonts w:hint="eastAsia" w:ascii="宋体" w:hAnsi="宋体" w:cs="宋体"/>
          <w:sz w:val="24"/>
        </w:rPr>
      </w:pPr>
      <w:r>
        <w:rPr>
          <w:rFonts w:hint="eastAsia" w:ascii="宋体" w:hAnsi="宋体" w:cs="宋体"/>
          <w:sz w:val="24"/>
        </w:rPr>
        <w:t>8.4在评审过程中，如属于实质性偏离或符合无效响应条件的，应当询问相关</w:t>
      </w:r>
      <w:r>
        <w:rPr>
          <w:rFonts w:hint="eastAsia" w:ascii="宋体" w:hAnsi="宋体" w:cs="宋体"/>
          <w:sz w:val="24"/>
          <w:lang w:eastAsia="zh-CN"/>
        </w:rPr>
        <w:t>投标单位</w:t>
      </w:r>
      <w:r>
        <w:rPr>
          <w:rFonts w:hint="eastAsia" w:ascii="宋体" w:hAnsi="宋体" w:cs="宋体"/>
          <w:sz w:val="24"/>
        </w:rPr>
        <w:t>，并允许其进行陈述申辩，但不允许对偏离条款进行补充、修正或撤回。</w:t>
      </w:r>
    </w:p>
    <w:p>
      <w:pPr>
        <w:spacing w:line="360" w:lineRule="auto"/>
        <w:jc w:val="left"/>
        <w:rPr>
          <w:rFonts w:hint="eastAsia" w:ascii="宋体" w:hAnsi="宋体" w:cs="宋体"/>
          <w:sz w:val="24"/>
        </w:rPr>
      </w:pPr>
      <w:r>
        <w:rPr>
          <w:rFonts w:hint="eastAsia" w:ascii="宋体" w:hAnsi="宋体" w:cs="宋体"/>
          <w:sz w:val="24"/>
        </w:rPr>
        <w:t>8.5磋商小组依据磋商文件规定的评审标准和方法，对磋商响应文件进行评审和比较，向</w:t>
      </w:r>
      <w:r>
        <w:rPr>
          <w:rFonts w:hint="eastAsia" w:ascii="宋体" w:hAnsi="宋体" w:cs="宋体"/>
          <w:sz w:val="24"/>
          <w:lang w:eastAsia="zh-CN"/>
        </w:rPr>
        <w:t>泰宇建筑工程技术咨询有限公司绍兴分公司</w:t>
      </w:r>
      <w:r>
        <w:rPr>
          <w:rFonts w:hint="eastAsia" w:ascii="宋体" w:hAnsi="宋体" w:cs="宋体"/>
          <w:sz w:val="24"/>
        </w:rPr>
        <w:t>提供书面评审报告，并按得分高低排序推荐中标候选</w:t>
      </w:r>
      <w:r>
        <w:rPr>
          <w:rFonts w:hint="eastAsia" w:ascii="宋体" w:hAnsi="宋体" w:cs="宋体"/>
          <w:sz w:val="24"/>
          <w:lang w:eastAsia="zh-CN"/>
        </w:rPr>
        <w:t>投标单位</w:t>
      </w:r>
      <w:r>
        <w:rPr>
          <w:rFonts w:hint="eastAsia" w:ascii="宋体" w:hAnsi="宋体" w:cs="宋体"/>
          <w:sz w:val="24"/>
        </w:rPr>
        <w:t>。</w:t>
      </w:r>
    </w:p>
    <w:p>
      <w:pPr>
        <w:pStyle w:val="13"/>
        <w:numPr>
          <w:ilvl w:val="0"/>
          <w:numId w:val="0"/>
        </w:numPr>
        <w:spacing w:after="0" w:afterLines="0" w:line="360" w:lineRule="auto"/>
        <w:rPr>
          <w:rFonts w:hint="eastAsia" w:ascii="宋体" w:hAnsi="宋体"/>
          <w:b/>
        </w:rPr>
      </w:pPr>
      <w:r>
        <w:rPr>
          <w:rFonts w:hint="eastAsia" w:ascii="宋体" w:hAnsi="宋体"/>
          <w:b/>
        </w:rPr>
        <w:t>9.磋商响应文件的澄清</w:t>
      </w:r>
    </w:p>
    <w:p>
      <w:pPr>
        <w:pStyle w:val="13"/>
        <w:numPr>
          <w:ilvl w:val="0"/>
          <w:numId w:val="0"/>
        </w:numPr>
        <w:spacing w:after="0" w:afterLines="0" w:line="360" w:lineRule="auto"/>
        <w:rPr>
          <w:rFonts w:hint="eastAsia" w:ascii="宋体" w:hAnsi="宋体"/>
        </w:rPr>
      </w:pPr>
      <w:r>
        <w:rPr>
          <w:rFonts w:hint="eastAsia" w:ascii="宋体" w:hAnsi="宋体"/>
        </w:rPr>
        <w:t>为有利于对磋商响应文件的比较和评议，磋商小组可要求</w:t>
      </w:r>
      <w:r>
        <w:rPr>
          <w:rFonts w:hint="eastAsia" w:ascii="宋体" w:hAnsi="宋体"/>
          <w:lang w:eastAsia="zh-CN"/>
        </w:rPr>
        <w:t>投标单位</w:t>
      </w:r>
      <w:r>
        <w:rPr>
          <w:rFonts w:hint="eastAsia" w:ascii="宋体" w:hAnsi="宋体"/>
        </w:rPr>
        <w:t>对磋商响应文件进行澄清，必要时磋商小组可要求</w:t>
      </w:r>
      <w:r>
        <w:rPr>
          <w:rFonts w:hint="eastAsia" w:ascii="宋体" w:hAnsi="宋体"/>
          <w:lang w:eastAsia="zh-CN"/>
        </w:rPr>
        <w:t>投标单位</w:t>
      </w:r>
      <w:r>
        <w:rPr>
          <w:rFonts w:hint="eastAsia" w:ascii="宋体" w:hAnsi="宋体"/>
        </w:rPr>
        <w:t>对澄清的问题作出书面答复。书面答复须由</w:t>
      </w:r>
      <w:r>
        <w:rPr>
          <w:rFonts w:hint="eastAsia" w:ascii="宋体" w:hAnsi="宋体"/>
          <w:lang w:eastAsia="zh-CN"/>
        </w:rPr>
        <w:t>投标单位</w:t>
      </w:r>
      <w:r>
        <w:rPr>
          <w:rFonts w:hint="eastAsia" w:ascii="宋体" w:hAnsi="宋体"/>
        </w:rPr>
        <w:t>法定代表人或其授权代表签字或者加盖公章，并作为磋商响应文件的一部分。</w:t>
      </w:r>
    </w:p>
    <w:p>
      <w:pPr>
        <w:snapToGrid w:val="0"/>
        <w:spacing w:line="360" w:lineRule="auto"/>
        <w:rPr>
          <w:rFonts w:hint="eastAsia" w:ascii="宋体" w:hAnsi="宋体"/>
          <w:b/>
          <w:kern w:val="0"/>
          <w:sz w:val="24"/>
        </w:rPr>
      </w:pPr>
      <w:r>
        <w:rPr>
          <w:rFonts w:hint="eastAsia" w:ascii="宋体" w:hAnsi="宋体"/>
          <w:b/>
          <w:kern w:val="0"/>
          <w:sz w:val="24"/>
        </w:rPr>
        <w:t>10. 磋商过程保密</w:t>
      </w:r>
    </w:p>
    <w:p>
      <w:pPr>
        <w:snapToGrid w:val="0"/>
        <w:spacing w:line="360" w:lineRule="auto"/>
        <w:rPr>
          <w:rFonts w:hint="eastAsia" w:ascii="宋体" w:hAnsi="宋体"/>
          <w:kern w:val="0"/>
          <w:sz w:val="24"/>
        </w:rPr>
      </w:pPr>
      <w:r>
        <w:rPr>
          <w:rFonts w:hint="eastAsia" w:ascii="宋体" w:hAnsi="宋体"/>
          <w:kern w:val="0"/>
          <w:sz w:val="24"/>
        </w:rPr>
        <w:t>10.1 磋商之后，直到授予</w:t>
      </w:r>
      <w:r>
        <w:rPr>
          <w:rFonts w:hint="eastAsia" w:ascii="宋体" w:hAnsi="宋体"/>
          <w:kern w:val="0"/>
          <w:sz w:val="24"/>
          <w:lang w:eastAsia="zh-CN"/>
        </w:rPr>
        <w:t>投标单位</w:t>
      </w:r>
      <w:r>
        <w:rPr>
          <w:rFonts w:hint="eastAsia" w:ascii="宋体" w:hAnsi="宋体"/>
          <w:kern w:val="0"/>
          <w:sz w:val="24"/>
        </w:rPr>
        <w:t>合同止，凡是属于审查、澄清、评价和比较磋商响应的有关资料以及</w:t>
      </w:r>
      <w:r>
        <w:rPr>
          <w:rFonts w:hint="eastAsia" w:ascii="宋体" w:hAnsi="宋体"/>
          <w:kern w:val="0"/>
          <w:sz w:val="24"/>
          <w:lang w:eastAsia="zh-CN"/>
        </w:rPr>
        <w:t>投标单位</w:t>
      </w:r>
      <w:r>
        <w:rPr>
          <w:rFonts w:hint="eastAsia" w:ascii="宋体" w:hAnsi="宋体"/>
          <w:kern w:val="0"/>
          <w:sz w:val="24"/>
        </w:rPr>
        <w:t>的磋商响应文件等，均不得向</w:t>
      </w:r>
      <w:r>
        <w:rPr>
          <w:rFonts w:hint="eastAsia" w:ascii="宋体" w:hAnsi="宋体"/>
          <w:kern w:val="0"/>
          <w:sz w:val="24"/>
          <w:lang w:eastAsia="zh-CN"/>
        </w:rPr>
        <w:t>投标单位</w:t>
      </w:r>
      <w:r>
        <w:rPr>
          <w:rFonts w:hint="eastAsia" w:ascii="宋体" w:hAnsi="宋体"/>
          <w:kern w:val="0"/>
          <w:sz w:val="24"/>
        </w:rPr>
        <w:t>或其他无关的人员透露。</w:t>
      </w:r>
    </w:p>
    <w:p>
      <w:pPr>
        <w:snapToGrid w:val="0"/>
        <w:spacing w:line="360" w:lineRule="auto"/>
        <w:rPr>
          <w:rFonts w:hint="eastAsia" w:ascii="宋体" w:hAnsi="宋体"/>
          <w:kern w:val="0"/>
          <w:sz w:val="24"/>
        </w:rPr>
      </w:pPr>
      <w:r>
        <w:rPr>
          <w:rFonts w:hint="eastAsia" w:ascii="宋体" w:hAnsi="宋体"/>
          <w:kern w:val="0"/>
          <w:sz w:val="24"/>
        </w:rPr>
        <w:t>10.2 在磋商期间，</w:t>
      </w:r>
      <w:r>
        <w:rPr>
          <w:rFonts w:hint="eastAsia" w:ascii="宋体" w:hAnsi="宋体"/>
          <w:kern w:val="0"/>
          <w:sz w:val="24"/>
          <w:lang w:eastAsia="zh-CN"/>
        </w:rPr>
        <w:t>投标单位</w:t>
      </w:r>
      <w:r>
        <w:rPr>
          <w:rFonts w:hint="eastAsia" w:ascii="宋体" w:hAnsi="宋体"/>
          <w:kern w:val="0"/>
          <w:sz w:val="24"/>
        </w:rPr>
        <w:t>企图影响采购人、采购代理机构或</w:t>
      </w:r>
      <w:r>
        <w:rPr>
          <w:rFonts w:hint="eastAsia" w:ascii="宋体" w:hAnsi="宋体"/>
          <w:sz w:val="24"/>
        </w:rPr>
        <w:t>磋商小组</w:t>
      </w:r>
      <w:r>
        <w:rPr>
          <w:rFonts w:hint="eastAsia" w:ascii="宋体" w:hAnsi="宋体"/>
          <w:kern w:val="0"/>
          <w:sz w:val="24"/>
        </w:rPr>
        <w:t>的任何活动，都将导致磋商被拒绝，并由其承担相应的法律责任。</w:t>
      </w:r>
    </w:p>
    <w:p>
      <w:pPr>
        <w:pStyle w:val="21"/>
        <w:spacing w:line="360" w:lineRule="auto"/>
        <w:jc w:val="center"/>
        <w:rPr>
          <w:rFonts w:hint="eastAsia" w:hAnsi="宋体"/>
          <w:b/>
          <w:sz w:val="36"/>
          <w:szCs w:val="36"/>
        </w:rPr>
      </w:pPr>
      <w:r>
        <w:rPr>
          <w:rFonts w:hint="eastAsia" w:hAnsi="宋体"/>
          <w:b/>
          <w:sz w:val="36"/>
          <w:szCs w:val="36"/>
        </w:rPr>
        <w:t>四、定标</w:t>
      </w:r>
    </w:p>
    <w:p>
      <w:pPr>
        <w:snapToGrid w:val="0"/>
        <w:spacing w:line="360" w:lineRule="auto"/>
        <w:jc w:val="left"/>
        <w:rPr>
          <w:rFonts w:hint="eastAsia" w:ascii="宋体" w:hAnsi="宋体"/>
          <w:b/>
          <w:sz w:val="24"/>
        </w:rPr>
      </w:pPr>
      <w:r>
        <w:rPr>
          <w:rFonts w:hint="eastAsia" w:ascii="宋体" w:hAnsi="宋体"/>
          <w:b/>
          <w:sz w:val="24"/>
        </w:rPr>
        <w:t>1．定标原则</w:t>
      </w:r>
      <w:bookmarkStart w:id="5" w:name="_Toc81372953"/>
      <w:bookmarkStart w:id="6" w:name="_Toc81372776"/>
      <w:bookmarkStart w:id="7" w:name="_Toc84325929"/>
    </w:p>
    <w:p>
      <w:pPr>
        <w:snapToGrid w:val="0"/>
        <w:spacing w:line="360" w:lineRule="auto"/>
        <w:jc w:val="left"/>
        <w:rPr>
          <w:rFonts w:hint="eastAsia" w:ascii="宋体" w:hAnsi="宋体"/>
          <w:spacing w:val="-4"/>
          <w:sz w:val="24"/>
        </w:rPr>
      </w:pPr>
      <w:r>
        <w:rPr>
          <w:rFonts w:hint="eastAsia" w:ascii="宋体" w:hAnsi="宋体"/>
          <w:spacing w:val="-4"/>
          <w:sz w:val="24"/>
        </w:rPr>
        <w:t>1.1磋商小组审查的主要内容是：</w:t>
      </w:r>
    </w:p>
    <w:p>
      <w:pPr>
        <w:snapToGrid w:val="0"/>
        <w:spacing w:line="360" w:lineRule="auto"/>
        <w:jc w:val="left"/>
        <w:rPr>
          <w:rFonts w:hint="eastAsia" w:ascii="宋体" w:hAnsi="宋体"/>
          <w:sz w:val="24"/>
        </w:rPr>
      </w:pPr>
      <w:r>
        <w:rPr>
          <w:rFonts w:hint="eastAsia" w:ascii="宋体" w:hAnsi="宋体"/>
          <w:sz w:val="24"/>
        </w:rPr>
        <w:t>1.1.1磋商响应产品的技术含量、质量水平；</w:t>
      </w:r>
    </w:p>
    <w:p>
      <w:pPr>
        <w:snapToGrid w:val="0"/>
        <w:spacing w:line="360" w:lineRule="auto"/>
        <w:jc w:val="left"/>
        <w:rPr>
          <w:rFonts w:hint="eastAsia" w:ascii="宋体" w:hAnsi="宋体"/>
          <w:sz w:val="24"/>
        </w:rPr>
      </w:pPr>
      <w:r>
        <w:rPr>
          <w:rFonts w:hint="eastAsia" w:ascii="宋体" w:hAnsi="宋体"/>
          <w:sz w:val="24"/>
        </w:rPr>
        <w:t>1.1.2</w:t>
      </w:r>
      <w:r>
        <w:rPr>
          <w:rFonts w:hint="eastAsia" w:ascii="宋体" w:hAnsi="宋体"/>
          <w:sz w:val="24"/>
          <w:lang w:eastAsia="zh-CN"/>
        </w:rPr>
        <w:t>投标单位</w:t>
      </w:r>
      <w:r>
        <w:rPr>
          <w:rFonts w:hint="eastAsia" w:ascii="宋体" w:hAnsi="宋体"/>
          <w:sz w:val="24"/>
        </w:rPr>
        <w:t>履行合同的能力；</w:t>
      </w:r>
    </w:p>
    <w:p>
      <w:pPr>
        <w:snapToGrid w:val="0"/>
        <w:spacing w:line="360" w:lineRule="auto"/>
        <w:jc w:val="left"/>
        <w:rPr>
          <w:rFonts w:hint="eastAsia" w:ascii="宋体" w:hAnsi="宋体"/>
          <w:sz w:val="24"/>
        </w:rPr>
      </w:pPr>
      <w:r>
        <w:rPr>
          <w:rFonts w:hint="eastAsia" w:ascii="宋体" w:hAnsi="宋体"/>
          <w:sz w:val="24"/>
        </w:rPr>
        <w:t>1.1.3最终审查工作如需</w:t>
      </w:r>
      <w:r>
        <w:rPr>
          <w:rFonts w:hint="eastAsia" w:ascii="宋体" w:hAnsi="宋体"/>
          <w:sz w:val="24"/>
          <w:lang w:eastAsia="zh-CN"/>
        </w:rPr>
        <w:t>投标单位</w:t>
      </w:r>
      <w:r>
        <w:rPr>
          <w:rFonts w:hint="eastAsia" w:ascii="宋体" w:hAnsi="宋体"/>
          <w:sz w:val="24"/>
        </w:rPr>
        <w:t>配合，</w:t>
      </w:r>
      <w:r>
        <w:rPr>
          <w:rFonts w:hint="eastAsia" w:ascii="宋体" w:hAnsi="宋体"/>
          <w:sz w:val="24"/>
          <w:lang w:eastAsia="zh-CN"/>
        </w:rPr>
        <w:t>投标单位</w:t>
      </w:r>
      <w:r>
        <w:rPr>
          <w:rFonts w:hint="eastAsia" w:ascii="宋体" w:hAnsi="宋体"/>
          <w:sz w:val="24"/>
        </w:rPr>
        <w:t>必须接受。</w:t>
      </w:r>
    </w:p>
    <w:p>
      <w:pPr>
        <w:pStyle w:val="13"/>
        <w:numPr>
          <w:ilvl w:val="0"/>
          <w:numId w:val="0"/>
        </w:numPr>
        <w:spacing w:after="0" w:afterLines="0" w:line="360" w:lineRule="auto"/>
        <w:rPr>
          <w:rFonts w:hint="eastAsia" w:ascii="宋体" w:hAnsi="宋体"/>
          <w:b/>
          <w:szCs w:val="24"/>
        </w:rPr>
      </w:pPr>
      <w:r>
        <w:rPr>
          <w:rFonts w:hint="eastAsia" w:ascii="宋体" w:hAnsi="宋体"/>
          <w:b/>
          <w:szCs w:val="24"/>
        </w:rPr>
        <w:t>2.中标条件</w:t>
      </w:r>
    </w:p>
    <w:p>
      <w:pPr>
        <w:pStyle w:val="13"/>
        <w:numPr>
          <w:ilvl w:val="0"/>
          <w:numId w:val="0"/>
        </w:numPr>
        <w:spacing w:after="0" w:afterLines="0" w:line="360" w:lineRule="auto"/>
        <w:rPr>
          <w:rFonts w:hint="eastAsia" w:ascii="宋体" w:hAnsi="宋体"/>
          <w:szCs w:val="24"/>
        </w:rPr>
      </w:pPr>
      <w:r>
        <w:rPr>
          <w:rFonts w:hint="eastAsia" w:ascii="宋体" w:hAnsi="宋体"/>
          <w:szCs w:val="24"/>
        </w:rPr>
        <w:t>2.1磋商响应文件基本符合磋商文件要求；</w:t>
      </w:r>
    </w:p>
    <w:p>
      <w:pPr>
        <w:pStyle w:val="13"/>
        <w:numPr>
          <w:ilvl w:val="0"/>
          <w:numId w:val="0"/>
        </w:numPr>
        <w:spacing w:after="0" w:afterLines="0" w:line="360" w:lineRule="auto"/>
        <w:rPr>
          <w:rFonts w:hint="eastAsia" w:ascii="宋体" w:hAnsi="宋体"/>
          <w:szCs w:val="24"/>
        </w:rPr>
      </w:pPr>
      <w:r>
        <w:rPr>
          <w:rFonts w:hint="eastAsia" w:ascii="宋体" w:hAnsi="宋体"/>
          <w:szCs w:val="24"/>
        </w:rPr>
        <w:t>2.2</w:t>
      </w:r>
      <w:r>
        <w:rPr>
          <w:rFonts w:hint="eastAsia" w:ascii="宋体" w:hAnsi="宋体"/>
          <w:szCs w:val="24"/>
          <w:lang w:eastAsia="zh-CN"/>
        </w:rPr>
        <w:t>投标单位</w:t>
      </w:r>
      <w:r>
        <w:rPr>
          <w:rFonts w:hint="eastAsia" w:ascii="宋体" w:hAnsi="宋体"/>
          <w:szCs w:val="24"/>
        </w:rPr>
        <w:t>有很好的执行合同的能力；</w:t>
      </w:r>
    </w:p>
    <w:p>
      <w:pPr>
        <w:pStyle w:val="13"/>
        <w:numPr>
          <w:ilvl w:val="0"/>
          <w:numId w:val="0"/>
        </w:numPr>
        <w:spacing w:after="0" w:afterLines="0" w:line="360" w:lineRule="auto"/>
        <w:rPr>
          <w:rFonts w:hint="eastAsia" w:ascii="宋体" w:hAnsi="宋体"/>
          <w:szCs w:val="24"/>
        </w:rPr>
      </w:pPr>
      <w:r>
        <w:rPr>
          <w:rFonts w:hint="eastAsia" w:ascii="宋体" w:hAnsi="宋体"/>
          <w:szCs w:val="24"/>
        </w:rPr>
        <w:t>2.3实施方案最合理并对采购人最为有利，最大限度满足磋商文件的要求；</w:t>
      </w:r>
    </w:p>
    <w:p>
      <w:pPr>
        <w:pStyle w:val="13"/>
        <w:numPr>
          <w:ilvl w:val="0"/>
          <w:numId w:val="0"/>
        </w:numPr>
        <w:spacing w:after="0" w:afterLines="0" w:line="360" w:lineRule="auto"/>
        <w:rPr>
          <w:rFonts w:hint="eastAsia" w:ascii="宋体" w:hAnsi="宋体"/>
          <w:szCs w:val="24"/>
        </w:rPr>
      </w:pPr>
      <w:r>
        <w:rPr>
          <w:rFonts w:hint="eastAsia" w:ascii="宋体" w:hAnsi="宋体"/>
          <w:szCs w:val="24"/>
        </w:rPr>
        <w:t>2.4</w:t>
      </w:r>
      <w:r>
        <w:rPr>
          <w:rFonts w:hint="eastAsia" w:ascii="宋体" w:hAnsi="宋体"/>
          <w:szCs w:val="24"/>
          <w:lang w:eastAsia="zh-CN"/>
        </w:rPr>
        <w:t>投标单位</w:t>
      </w:r>
      <w:r>
        <w:rPr>
          <w:rFonts w:hint="eastAsia" w:ascii="宋体" w:hAnsi="宋体"/>
          <w:szCs w:val="24"/>
        </w:rPr>
        <w:t>能够提供质量技术、商务经济占综合优势的系统及服务。</w:t>
      </w:r>
    </w:p>
    <w:p>
      <w:pPr>
        <w:pStyle w:val="12"/>
        <w:tabs>
          <w:tab w:val="left" w:pos="1540"/>
        </w:tabs>
        <w:spacing w:after="0" w:afterLines="0" w:line="360" w:lineRule="auto"/>
        <w:ind w:left="0" w:firstLine="0"/>
        <w:rPr>
          <w:rFonts w:hint="eastAsia" w:ascii="宋体" w:hAnsi="宋体"/>
          <w:szCs w:val="24"/>
        </w:rPr>
      </w:pPr>
      <w:r>
        <w:rPr>
          <w:rFonts w:hint="eastAsia" w:ascii="宋体" w:hAnsi="宋体"/>
          <w:szCs w:val="24"/>
        </w:rPr>
        <w:t>2.5采购人、采购代理机构将把中标通知书授予最佳磋商响应者，但最低价不是中标的绝对保证。</w:t>
      </w:r>
    </w:p>
    <w:p>
      <w:pPr>
        <w:pStyle w:val="21"/>
        <w:spacing w:line="360" w:lineRule="auto"/>
        <w:ind w:firstLine="723"/>
        <w:jc w:val="center"/>
        <w:rPr>
          <w:rFonts w:hint="eastAsia" w:hAnsi="宋体"/>
          <w:b/>
          <w:sz w:val="36"/>
          <w:szCs w:val="36"/>
        </w:rPr>
      </w:pPr>
      <w:r>
        <w:rPr>
          <w:rFonts w:hint="eastAsia" w:hAnsi="宋体"/>
          <w:b/>
          <w:sz w:val="36"/>
          <w:szCs w:val="36"/>
        </w:rPr>
        <w:t>五、授予合同</w:t>
      </w:r>
    </w:p>
    <w:p>
      <w:pPr>
        <w:spacing w:line="360" w:lineRule="auto"/>
        <w:jc w:val="left"/>
        <w:rPr>
          <w:rFonts w:hint="eastAsia" w:ascii="宋体" w:hAnsi="宋体"/>
          <w:b/>
          <w:sz w:val="24"/>
        </w:rPr>
      </w:pPr>
      <w:r>
        <w:rPr>
          <w:rFonts w:hint="eastAsia" w:ascii="宋体" w:hAnsi="宋体"/>
          <w:b/>
          <w:sz w:val="24"/>
        </w:rPr>
        <w:t>1．中标通知</w:t>
      </w:r>
    </w:p>
    <w:bookmarkEnd w:id="5"/>
    <w:bookmarkEnd w:id="6"/>
    <w:bookmarkEnd w:id="7"/>
    <w:p>
      <w:pPr>
        <w:pStyle w:val="110"/>
        <w:tabs>
          <w:tab w:val="left" w:pos="0"/>
        </w:tabs>
        <w:spacing w:before="0"/>
        <w:ind w:firstLine="0" w:firstLineChars="0"/>
        <w:rPr>
          <w:rFonts w:hint="eastAsia" w:ascii="宋体" w:hAnsi="宋体" w:eastAsia="宋体"/>
          <w:color w:val="C0504D" w:themeColor="accent2"/>
          <w:szCs w:val="24"/>
          <w:lang w:eastAsia="zh-CN"/>
          <w14:textFill>
            <w14:solidFill>
              <w14:schemeClr w14:val="accent2"/>
            </w14:solidFill>
          </w14:textFill>
        </w:rPr>
      </w:pPr>
      <w:r>
        <w:rPr>
          <w:rFonts w:hint="eastAsia" w:ascii="宋体" w:hAnsi="宋体"/>
        </w:rPr>
        <w:t>1.1采购人、采购代理机构在磋商响应有效期内</w:t>
      </w:r>
      <w:r>
        <w:rPr>
          <w:rFonts w:hint="eastAsia" w:ascii="宋体" w:hAnsi="宋体"/>
          <w:lang w:eastAsia="zh-CN"/>
        </w:rPr>
        <w:t>确定</w:t>
      </w:r>
      <w:r>
        <w:rPr>
          <w:rFonts w:hint="eastAsia" w:ascii="宋体" w:hAnsi="宋体"/>
        </w:rPr>
        <w:t>定标结果</w:t>
      </w:r>
      <w:r>
        <w:rPr>
          <w:rFonts w:hint="eastAsia" w:ascii="宋体" w:hAnsi="宋体"/>
          <w:lang w:eastAsia="zh-CN"/>
        </w:rPr>
        <w:t>。</w:t>
      </w:r>
    </w:p>
    <w:p>
      <w:pPr>
        <w:tabs>
          <w:tab w:val="left" w:pos="0"/>
        </w:tabs>
        <w:spacing w:line="360" w:lineRule="auto"/>
        <w:rPr>
          <w:rFonts w:hint="eastAsia" w:ascii="宋体" w:hAnsi="宋体" w:cs="仿宋_GB2312"/>
          <w:kern w:val="0"/>
          <w:sz w:val="24"/>
          <w:lang w:val="zh-CN"/>
        </w:rPr>
      </w:pPr>
      <w:r>
        <w:rPr>
          <w:rFonts w:hint="eastAsia" w:ascii="宋体" w:hAnsi="宋体"/>
          <w:sz w:val="24"/>
        </w:rPr>
        <w:t>1.2在采购代理机构发出中标通知书前，预中标</w:t>
      </w:r>
      <w:r>
        <w:rPr>
          <w:rFonts w:hint="eastAsia" w:ascii="宋体" w:hAnsi="宋体"/>
          <w:sz w:val="24"/>
          <w:lang w:eastAsia="zh-CN"/>
        </w:rPr>
        <w:t>投标单位</w:t>
      </w:r>
      <w:r>
        <w:rPr>
          <w:rFonts w:hint="eastAsia" w:ascii="宋体" w:hAnsi="宋体"/>
          <w:sz w:val="24"/>
        </w:rPr>
        <w:t>有违反有关法律法规和本项目要求行为的，则取消该</w:t>
      </w:r>
      <w:r>
        <w:rPr>
          <w:rFonts w:hint="eastAsia" w:ascii="宋体" w:hAnsi="宋体"/>
          <w:sz w:val="24"/>
          <w:lang w:eastAsia="zh-CN"/>
        </w:rPr>
        <w:t>投标单位</w:t>
      </w:r>
      <w:r>
        <w:rPr>
          <w:rFonts w:hint="eastAsia" w:ascii="宋体" w:hAnsi="宋体"/>
          <w:sz w:val="24"/>
        </w:rPr>
        <w:t>的预中标资格</w:t>
      </w:r>
      <w:r>
        <w:rPr>
          <w:rFonts w:hint="eastAsia" w:ascii="宋体" w:hAnsi="宋体" w:cs="仿宋_GB2312"/>
          <w:kern w:val="0"/>
          <w:sz w:val="24"/>
          <w:lang w:val="zh-CN"/>
        </w:rPr>
        <w:t>。</w:t>
      </w:r>
    </w:p>
    <w:p>
      <w:pPr>
        <w:spacing w:line="360" w:lineRule="auto"/>
        <w:jc w:val="left"/>
        <w:rPr>
          <w:rFonts w:hint="eastAsia" w:ascii="宋体" w:hAnsi="宋体"/>
          <w:sz w:val="24"/>
        </w:rPr>
      </w:pPr>
      <w:r>
        <w:rPr>
          <w:rFonts w:hint="eastAsia" w:ascii="宋体" w:hAnsi="宋体"/>
          <w:sz w:val="24"/>
        </w:rPr>
        <w:t>1.3采购人、采购代理机构对中标结果不作任何说明和解释，也不回答任何提问。</w:t>
      </w:r>
    </w:p>
    <w:p>
      <w:pPr>
        <w:spacing w:line="360" w:lineRule="auto"/>
        <w:jc w:val="left"/>
        <w:rPr>
          <w:rFonts w:hint="eastAsia" w:ascii="宋体" w:hAnsi="宋体"/>
          <w:b/>
          <w:sz w:val="24"/>
        </w:rPr>
      </w:pPr>
      <w:r>
        <w:rPr>
          <w:rFonts w:hint="eastAsia" w:ascii="宋体" w:hAnsi="宋体"/>
          <w:b/>
          <w:sz w:val="24"/>
        </w:rPr>
        <w:t>3．合同备案</w:t>
      </w:r>
    </w:p>
    <w:p>
      <w:pPr>
        <w:spacing w:line="360" w:lineRule="auto"/>
        <w:jc w:val="left"/>
        <w:rPr>
          <w:rFonts w:hint="eastAsia" w:ascii="宋体" w:hAnsi="宋体"/>
          <w:sz w:val="24"/>
        </w:rPr>
      </w:pPr>
      <w:r>
        <w:rPr>
          <w:rFonts w:hint="eastAsia" w:ascii="宋体" w:hAnsi="宋体"/>
          <w:sz w:val="24"/>
        </w:rPr>
        <w:t>3.1中标人应当自采购合同签订之日起七个工作日内，按照有关规定将采购合同原件或复印件报</w:t>
      </w:r>
      <w:r>
        <w:rPr>
          <w:rFonts w:hint="eastAsia" w:ascii="宋体" w:hAnsi="宋体"/>
          <w:sz w:val="24"/>
          <w:lang w:eastAsia="zh-CN"/>
        </w:rPr>
        <w:t>泰宇建筑工程技术咨询有限公司绍兴分公司</w:t>
      </w:r>
      <w:r>
        <w:rPr>
          <w:rFonts w:hint="eastAsia" w:ascii="宋体" w:hAnsi="宋体"/>
          <w:sz w:val="24"/>
        </w:rPr>
        <w:t>备案。</w:t>
      </w:r>
    </w:p>
    <w:p>
      <w:pPr>
        <w:spacing w:line="360" w:lineRule="auto"/>
        <w:jc w:val="left"/>
        <w:rPr>
          <w:rFonts w:hint="eastAsia" w:ascii="宋体" w:hAnsi="宋体"/>
          <w:sz w:val="24"/>
        </w:rPr>
      </w:pPr>
      <w:r>
        <w:rPr>
          <w:rFonts w:hint="eastAsia" w:ascii="宋体" w:hAnsi="宋体"/>
          <w:sz w:val="24"/>
        </w:rPr>
        <w:t>3.2未领取中标通知书，磋商双方自行签订的合同不予备案。</w:t>
      </w: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snapToGrid w:val="0"/>
        <w:spacing w:line="360" w:lineRule="auto"/>
        <w:jc w:val="center"/>
        <w:rPr>
          <w:rFonts w:hint="eastAsia" w:ascii="宋体" w:hAnsi="宋体"/>
          <w:b/>
          <w:sz w:val="36"/>
          <w:szCs w:val="36"/>
        </w:rPr>
      </w:pPr>
    </w:p>
    <w:p>
      <w:pPr>
        <w:pStyle w:val="2"/>
        <w:numPr>
          <w:ilvl w:val="0"/>
          <w:numId w:val="0"/>
        </w:numPr>
        <w:ind w:leftChars="0"/>
        <w:rPr>
          <w:rFonts w:hint="eastAsia"/>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36"/>
          <w:szCs w:val="36"/>
        </w:rPr>
      </w:pPr>
    </w:p>
    <w:p>
      <w:pPr>
        <w:snapToGrid w:val="0"/>
        <w:spacing w:line="360" w:lineRule="auto"/>
        <w:ind w:firstLine="1807" w:firstLineChars="500"/>
        <w:jc w:val="both"/>
        <w:rPr>
          <w:rFonts w:hint="eastAsia" w:ascii="宋体" w:hAnsi="宋体"/>
          <w:b/>
          <w:sz w:val="24"/>
        </w:rPr>
      </w:pPr>
      <w:r>
        <w:rPr>
          <w:rFonts w:hint="eastAsia" w:ascii="宋体" w:hAnsi="宋体"/>
          <w:b/>
          <w:sz w:val="36"/>
          <w:szCs w:val="36"/>
        </w:rPr>
        <w:t>第三部分 磋商项目范围及要求</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82" w:firstLineChars="200"/>
        <w:textAlignment w:val="auto"/>
        <w:outlineLvl w:val="9"/>
        <w:rPr>
          <w:rFonts w:hint="eastAsia" w:ascii="宋体" w:hAnsi="宋体" w:eastAsia="宋体" w:cs="宋体"/>
          <w:b/>
          <w:sz w:val="24"/>
          <w:szCs w:val="24"/>
        </w:rPr>
      </w:pPr>
      <w:bookmarkStart w:id="8" w:name="_Toc81372787"/>
      <w:bookmarkStart w:id="9" w:name="_Toc81372964"/>
      <w:bookmarkStart w:id="10" w:name="_Toc80157775"/>
      <w:bookmarkStart w:id="11" w:name="_Toc84325981"/>
      <w:r>
        <w:rPr>
          <w:rFonts w:hint="eastAsia" w:ascii="宋体" w:hAnsi="宋体" w:cs="宋体"/>
          <w:b/>
          <w:bCs/>
          <w:sz w:val="24"/>
          <w:szCs w:val="24"/>
          <w:lang w:eastAsia="zh-CN"/>
        </w:rPr>
        <w:t>一</w:t>
      </w:r>
      <w:r>
        <w:rPr>
          <w:rFonts w:hint="eastAsia" w:ascii="宋体" w:hAnsi="宋体" w:eastAsia="宋体" w:cs="宋体"/>
          <w:b/>
          <w:sz w:val="24"/>
          <w:szCs w:val="24"/>
        </w:rPr>
        <w:t>、服务内容</w:t>
      </w:r>
    </w:p>
    <w:p>
      <w:pPr>
        <w:keepNext w:val="0"/>
        <w:keepLines w:val="0"/>
        <w:pageBreakBefore w:val="0"/>
        <w:kinsoku/>
        <w:wordWrap/>
        <w:overflowPunct/>
        <w:topLinePunct w:val="0"/>
        <w:autoSpaceDE/>
        <w:autoSpaceDN/>
        <w:bidi w:val="0"/>
        <w:adjustRightInd/>
        <w:snapToGrid w:val="0"/>
        <w:spacing w:line="360" w:lineRule="auto"/>
        <w:ind w:left="0" w:leftChars="0" w:right="0" w:rightChars="0" w:firstLine="480" w:firstLineChars="200"/>
        <w:textAlignment w:val="auto"/>
        <w:outlineLvl w:val="9"/>
        <w:rPr>
          <w:rFonts w:hint="eastAsia" w:ascii="宋体" w:hAnsi="宋体" w:cs="宋体"/>
          <w:b/>
          <w:bCs/>
          <w:sz w:val="24"/>
        </w:rPr>
      </w:pPr>
      <w:r>
        <w:rPr>
          <w:rFonts w:hint="eastAsia" w:ascii="宋体" w:hAnsi="宋体" w:eastAsia="宋体" w:cs="宋体"/>
          <w:sz w:val="24"/>
          <w:szCs w:val="24"/>
        </w:rPr>
        <w:t>承担成调局、监测认证中心、信用中心、铁建中心、能源监察中心</w:t>
      </w:r>
      <w:r>
        <w:rPr>
          <w:rFonts w:hint="eastAsia" w:ascii="宋体" w:hAnsi="宋体" w:cs="宋体"/>
          <w:sz w:val="24"/>
          <w:szCs w:val="24"/>
          <w:lang w:eastAsia="zh-CN"/>
        </w:rPr>
        <w:t>、规划院</w:t>
      </w:r>
      <w:r>
        <w:rPr>
          <w:rFonts w:hint="eastAsia" w:ascii="宋体" w:hAnsi="宋体" w:cs="宋体"/>
          <w:sz w:val="24"/>
          <w:szCs w:val="24"/>
          <w:lang w:val="en-US" w:eastAsia="zh-CN"/>
        </w:rPr>
        <w:t>6</w:t>
      </w:r>
      <w:r>
        <w:rPr>
          <w:rFonts w:hint="eastAsia" w:ascii="宋体" w:hAnsi="宋体" w:eastAsia="宋体" w:cs="宋体"/>
          <w:sz w:val="24"/>
          <w:szCs w:val="24"/>
        </w:rPr>
        <w:t>家单位的财务工作</w:t>
      </w:r>
      <w:r>
        <w:rPr>
          <w:rFonts w:hint="eastAsia" w:ascii="宋体" w:hAnsi="宋体" w:cs="宋体"/>
          <w:sz w:val="24"/>
          <w:szCs w:val="24"/>
          <w:lang w:eastAsia="zh-CN"/>
        </w:rPr>
        <w:t>。具体服务内容包括：</w:t>
      </w:r>
      <w:r>
        <w:rPr>
          <w:rFonts w:hint="eastAsia" w:ascii="宋体" w:hAnsi="宋体" w:cs="宋体"/>
          <w:b/>
          <w:bCs/>
          <w:sz w:val="24"/>
        </w:rPr>
        <w:t>1.日常财务结报。</w:t>
      </w:r>
      <w:r>
        <w:rPr>
          <w:rFonts w:hint="eastAsia" w:ascii="宋体" w:hAnsi="宋体" w:cs="宋体"/>
          <w:sz w:val="24"/>
        </w:rPr>
        <w:t>包括单据报销、政府采购申报与备案、会计核算、税务申报等工作。</w:t>
      </w:r>
      <w:r>
        <w:rPr>
          <w:rFonts w:hint="eastAsia" w:ascii="宋体" w:hAnsi="宋体" w:cs="宋体"/>
          <w:b/>
          <w:bCs/>
          <w:sz w:val="24"/>
        </w:rPr>
        <w:t>2.报表报送。</w:t>
      </w:r>
      <w:r>
        <w:rPr>
          <w:rFonts w:hint="eastAsia" w:ascii="宋体" w:hAnsi="宋体" w:cs="宋体"/>
          <w:sz w:val="24"/>
        </w:rPr>
        <w:t>包括政府财务报告、资产报告、项目绩效自评，内部控制报告决算报表等报送工作。</w:t>
      </w:r>
      <w:r>
        <w:rPr>
          <w:rFonts w:hint="eastAsia" w:ascii="宋体" w:hAnsi="宋体" w:cs="宋体"/>
          <w:b/>
          <w:bCs/>
          <w:sz w:val="24"/>
        </w:rPr>
        <w:t>3.预算编制。</w:t>
      </w:r>
      <w:r>
        <w:rPr>
          <w:rFonts w:hint="eastAsia" w:ascii="宋体" w:hAnsi="宋体" w:cs="宋体"/>
          <w:sz w:val="24"/>
        </w:rPr>
        <w:t>包括年度预算编制、调整、追加。</w:t>
      </w:r>
      <w:r>
        <w:rPr>
          <w:rFonts w:hint="eastAsia" w:ascii="宋体" w:hAnsi="宋体" w:cs="宋体"/>
          <w:b/>
          <w:bCs/>
          <w:sz w:val="24"/>
        </w:rPr>
        <w:t>4.档案管理。</w:t>
      </w:r>
      <w:r>
        <w:rPr>
          <w:rFonts w:hint="eastAsia" w:ascii="宋体" w:hAnsi="宋体" w:cs="宋体"/>
          <w:sz w:val="24"/>
        </w:rPr>
        <w:t>会计档案装订和保管会计档案工作。</w:t>
      </w:r>
      <w:r>
        <w:rPr>
          <w:rFonts w:hint="eastAsia" w:ascii="宋体" w:hAnsi="宋体" w:cs="宋体"/>
          <w:b/>
          <w:bCs/>
          <w:sz w:val="24"/>
        </w:rPr>
        <w:t>5.财务账户变更等其他财务工作。</w:t>
      </w:r>
    </w:p>
    <w:p>
      <w:pPr>
        <w:keepNext w:val="0"/>
        <w:keepLines w:val="0"/>
        <w:pageBreakBefore w:val="0"/>
        <w:numPr>
          <w:ilvl w:val="0"/>
          <w:numId w:val="0"/>
        </w:numPr>
        <w:kinsoku/>
        <w:wordWrap/>
        <w:overflowPunct/>
        <w:topLinePunct w:val="0"/>
        <w:autoSpaceDE/>
        <w:autoSpaceDN/>
        <w:bidi w:val="0"/>
        <w:adjustRightInd/>
        <w:snapToGrid w:val="0"/>
        <w:spacing w:line="360" w:lineRule="auto"/>
        <w:ind w:leftChars="200" w:right="0" w:rightChars="0"/>
        <w:textAlignment w:val="auto"/>
        <w:outlineLvl w:val="9"/>
        <w:rPr>
          <w:rFonts w:hint="eastAsia" w:ascii="宋体" w:hAnsi="宋体" w:cs="宋体"/>
          <w:b/>
          <w:bCs/>
          <w:sz w:val="24"/>
          <w:szCs w:val="24"/>
          <w:lang w:eastAsia="zh-CN"/>
        </w:rPr>
      </w:pPr>
      <w:r>
        <w:rPr>
          <w:rFonts w:hint="eastAsia" w:ascii="宋体" w:hAnsi="宋体" w:cs="宋体"/>
          <w:b/>
          <w:bCs/>
          <w:sz w:val="24"/>
          <w:szCs w:val="24"/>
          <w:lang w:eastAsia="zh-CN"/>
        </w:rPr>
        <w:t>二、服务期限</w:t>
      </w:r>
    </w:p>
    <w:p>
      <w:pPr>
        <w:keepNext w:val="0"/>
        <w:keepLines w:val="0"/>
        <w:pageBreakBefore w:val="0"/>
        <w:numPr>
          <w:ilvl w:val="0"/>
          <w:numId w:val="0"/>
        </w:numPr>
        <w:kinsoku/>
        <w:wordWrap/>
        <w:overflowPunct/>
        <w:topLinePunct w:val="0"/>
        <w:autoSpaceDE/>
        <w:autoSpaceDN/>
        <w:bidi w:val="0"/>
        <w:adjustRightInd/>
        <w:snapToGrid w:val="0"/>
        <w:spacing w:line="360" w:lineRule="auto"/>
        <w:ind w:right="0" w:rightChars="0" w:firstLine="480" w:firstLineChars="200"/>
        <w:textAlignment w:val="auto"/>
        <w:outlineLvl w:val="9"/>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服务期为</w:t>
      </w:r>
      <w:r>
        <w:rPr>
          <w:rFonts w:hint="eastAsia" w:ascii="宋体" w:hAnsi="宋体" w:cs="宋体"/>
          <w:sz w:val="24"/>
          <w:szCs w:val="24"/>
          <w:highlight w:val="none"/>
          <w:lang w:eastAsia="zh-CN"/>
        </w:rPr>
        <w:t>一年，自合同签订之日算起。</w:t>
      </w:r>
    </w:p>
    <w:p>
      <w:pPr>
        <w:keepNext w:val="0"/>
        <w:keepLines w:val="0"/>
        <w:pageBreakBefore w:val="0"/>
        <w:kinsoku/>
        <w:wordWrap/>
        <w:overflowPunct/>
        <w:topLinePunct w:val="0"/>
        <w:autoSpaceDE/>
        <w:autoSpaceDN/>
        <w:bidi w:val="0"/>
        <w:snapToGrid w:val="0"/>
        <w:spacing w:line="360" w:lineRule="auto"/>
        <w:ind w:left="0" w:leftChars="0" w:right="0" w:rightChars="0" w:firstLine="482" w:firstLineChars="200"/>
        <w:textAlignment w:val="auto"/>
        <w:outlineLvl w:val="9"/>
        <w:rPr>
          <w:rFonts w:hint="eastAsia" w:ascii="宋体" w:hAnsi="宋体" w:eastAsia="宋体" w:cs="宋体"/>
          <w:b/>
          <w:bCs w:val="0"/>
          <w:sz w:val="24"/>
          <w:szCs w:val="24"/>
          <w:lang w:eastAsia="zh-CN"/>
        </w:rPr>
      </w:pPr>
      <w:r>
        <w:rPr>
          <w:rFonts w:hint="eastAsia" w:ascii="宋体" w:hAnsi="宋体" w:cs="宋体"/>
          <w:b/>
          <w:bCs w:val="0"/>
          <w:sz w:val="24"/>
          <w:szCs w:val="24"/>
          <w:lang w:eastAsia="zh-CN"/>
        </w:rPr>
        <w:t>三</w:t>
      </w:r>
      <w:r>
        <w:rPr>
          <w:rFonts w:hint="eastAsia" w:ascii="宋体" w:hAnsi="宋体" w:eastAsia="宋体" w:cs="宋体"/>
          <w:b/>
          <w:bCs w:val="0"/>
          <w:sz w:val="24"/>
          <w:szCs w:val="24"/>
          <w:lang w:eastAsia="zh-CN"/>
        </w:rPr>
        <w:t>、项目</w:t>
      </w:r>
      <w:r>
        <w:rPr>
          <w:rFonts w:hint="eastAsia" w:ascii="宋体" w:hAnsi="宋体" w:cs="宋体"/>
          <w:b/>
          <w:bCs w:val="0"/>
          <w:sz w:val="24"/>
          <w:szCs w:val="24"/>
          <w:lang w:eastAsia="zh-CN"/>
        </w:rPr>
        <w:t>要求</w:t>
      </w:r>
    </w:p>
    <w:p>
      <w:pPr>
        <w:keepNext w:val="0"/>
        <w:keepLines w:val="0"/>
        <w:pageBreakBefore w:val="0"/>
        <w:kinsoku/>
        <w:wordWrap/>
        <w:overflowPunct/>
        <w:topLinePunct w:val="0"/>
        <w:autoSpaceDE/>
        <w:autoSpaceDN/>
        <w:bidi w:val="0"/>
        <w:snapToGrid w:val="0"/>
        <w:spacing w:line="360" w:lineRule="auto"/>
        <w:ind w:left="0" w:leftChars="0" w:right="0" w:rightChars="0" w:firstLine="480" w:firstLineChars="200"/>
        <w:textAlignment w:val="auto"/>
        <w:outlineLvl w:val="9"/>
        <w:rPr>
          <w:rFonts w:hint="eastAsia" w:ascii="宋体" w:hAnsi="宋体" w:eastAsia="宋体" w:cs="宋体"/>
          <w:b w:val="0"/>
          <w:bCs/>
          <w:sz w:val="24"/>
          <w:szCs w:val="24"/>
          <w:lang w:eastAsia="zh-CN"/>
        </w:rPr>
      </w:pPr>
      <w:r>
        <w:rPr>
          <w:rFonts w:hint="eastAsia" w:ascii="宋体" w:hAnsi="宋体" w:eastAsia="宋体" w:cs="宋体"/>
          <w:b w:val="0"/>
          <w:bCs/>
          <w:sz w:val="24"/>
          <w:szCs w:val="24"/>
          <w:lang w:eastAsia="zh-CN"/>
        </w:rPr>
        <w:t>根据财务服务外包工作考核要求和具体工作任务每月按时完成下属单位各项财务工作，确保资金结报、报表报送、预算编制等及时无误，会计档案完整有序，充分体现会计服务的专业性和实用性。</w:t>
      </w:r>
    </w:p>
    <w:p>
      <w:pPr>
        <w:pStyle w:val="21"/>
        <w:spacing w:line="360" w:lineRule="auto"/>
        <w:ind w:firstLine="2530" w:firstLineChars="700"/>
        <w:jc w:val="both"/>
        <w:rPr>
          <w:rFonts w:hint="eastAsia" w:hAnsi="宋体"/>
          <w:b/>
          <w:sz w:val="36"/>
          <w:szCs w:val="36"/>
        </w:rPr>
      </w:pPr>
      <w:r>
        <w:rPr>
          <w:rFonts w:hint="eastAsia" w:hAnsi="宋体"/>
          <w:b/>
          <w:sz w:val="36"/>
          <w:szCs w:val="36"/>
        </w:rPr>
        <w:t>第四部分 合同主要条款</w:t>
      </w:r>
    </w:p>
    <w:p>
      <w:pPr>
        <w:spacing w:line="360" w:lineRule="auto"/>
        <w:jc w:val="left"/>
        <w:rPr>
          <w:rFonts w:hint="eastAsia" w:ascii="宋体" w:hAnsi="宋体"/>
          <w:b/>
          <w:sz w:val="24"/>
        </w:rPr>
      </w:pPr>
      <w:r>
        <w:rPr>
          <w:rFonts w:hint="eastAsia" w:ascii="宋体" w:hAnsi="宋体"/>
          <w:b/>
          <w:sz w:val="24"/>
        </w:rPr>
        <w:t>1.合同范围</w:t>
      </w:r>
    </w:p>
    <w:p>
      <w:pPr>
        <w:spacing w:line="360" w:lineRule="auto"/>
        <w:jc w:val="left"/>
        <w:rPr>
          <w:rFonts w:hint="eastAsia" w:ascii="宋体" w:hAnsi="宋体"/>
          <w:sz w:val="24"/>
        </w:rPr>
      </w:pPr>
      <w:r>
        <w:rPr>
          <w:rFonts w:hint="eastAsia" w:ascii="宋体" w:hAnsi="宋体"/>
          <w:sz w:val="24"/>
          <w:lang w:val="en-US" w:eastAsia="zh-CN"/>
        </w:rPr>
        <w:t xml:space="preserve">    </w:t>
      </w:r>
      <w:r>
        <w:rPr>
          <w:rFonts w:hint="eastAsia" w:ascii="宋体" w:hAnsi="宋体"/>
          <w:sz w:val="24"/>
        </w:rPr>
        <w:t>合同范围应与中标通知书、磋商文件及被采购人接受的技术商务规范偏离表相一致。合同范围和双方的职责在 “磋商文件”明确。</w:t>
      </w:r>
    </w:p>
    <w:p>
      <w:pPr>
        <w:pStyle w:val="70"/>
        <w:spacing w:line="360" w:lineRule="auto"/>
        <w:jc w:val="left"/>
        <w:rPr>
          <w:rFonts w:hint="eastAsia" w:hAnsi="宋体"/>
          <w:b/>
          <w:sz w:val="24"/>
          <w:szCs w:val="24"/>
        </w:rPr>
      </w:pPr>
      <w:r>
        <w:rPr>
          <w:rFonts w:hint="eastAsia" w:hAnsi="宋体"/>
          <w:b/>
          <w:sz w:val="24"/>
          <w:szCs w:val="24"/>
        </w:rPr>
        <w:t>2.合同的签订</w:t>
      </w:r>
    </w:p>
    <w:p>
      <w:pPr>
        <w:snapToGrid w:val="0"/>
        <w:spacing w:line="360" w:lineRule="auto"/>
        <w:jc w:val="left"/>
        <w:rPr>
          <w:rFonts w:hint="eastAsia" w:ascii="宋体" w:hAnsi="宋体"/>
          <w:sz w:val="24"/>
        </w:rPr>
      </w:pPr>
      <w:r>
        <w:rPr>
          <w:rFonts w:hint="eastAsia" w:ascii="宋体" w:hAnsi="宋体"/>
          <w:sz w:val="24"/>
          <w:lang w:val="en-US" w:eastAsia="zh-CN"/>
        </w:rPr>
        <w:t xml:space="preserve">    </w:t>
      </w:r>
      <w:r>
        <w:rPr>
          <w:rFonts w:hint="eastAsia" w:ascii="宋体" w:hAnsi="宋体"/>
          <w:sz w:val="24"/>
        </w:rPr>
        <w:t>2.1中标人须在中标通知书发出30日内按磋商文件和中标</w:t>
      </w:r>
      <w:r>
        <w:rPr>
          <w:rFonts w:hint="eastAsia" w:ascii="宋体" w:hAnsi="宋体"/>
          <w:sz w:val="24"/>
          <w:lang w:eastAsia="zh-CN"/>
        </w:rPr>
        <w:t>投标单位</w:t>
      </w:r>
      <w:r>
        <w:rPr>
          <w:rFonts w:hint="eastAsia" w:ascii="宋体" w:hAnsi="宋体"/>
          <w:sz w:val="24"/>
        </w:rPr>
        <w:t>磋商响应文件的约定，凭中标通知书和采购人在约定的时间、地点，由法定代表人或其授权代表与采购人签订书面合同。</w:t>
      </w:r>
    </w:p>
    <w:p>
      <w:pPr>
        <w:pStyle w:val="12"/>
        <w:widowControl w:val="0"/>
        <w:tabs>
          <w:tab w:val="clear" w:pos="1697"/>
        </w:tabs>
        <w:spacing w:after="0" w:afterLines="0" w:line="360" w:lineRule="auto"/>
        <w:ind w:left="0" w:firstLine="0"/>
        <w:rPr>
          <w:rFonts w:hint="eastAsia" w:ascii="宋体" w:hAnsi="宋体"/>
        </w:rPr>
      </w:pPr>
      <w:r>
        <w:rPr>
          <w:rFonts w:hint="eastAsia" w:ascii="宋体" w:hAnsi="宋体"/>
        </w:rPr>
        <w:t>2.1.1服务地点：用户指定地点。</w:t>
      </w:r>
    </w:p>
    <w:p>
      <w:pPr>
        <w:pStyle w:val="12"/>
        <w:widowControl w:val="0"/>
        <w:tabs>
          <w:tab w:val="clear" w:pos="1697"/>
        </w:tabs>
        <w:spacing w:after="0" w:afterLines="0" w:line="360" w:lineRule="auto"/>
        <w:ind w:left="0" w:firstLine="0"/>
        <w:rPr>
          <w:rFonts w:hint="eastAsia" w:ascii="宋体" w:hAnsi="宋体"/>
        </w:rPr>
      </w:pPr>
      <w:r>
        <w:rPr>
          <w:rFonts w:hint="eastAsia" w:ascii="宋体" w:hAnsi="宋体"/>
          <w:szCs w:val="24"/>
        </w:rPr>
        <w:t>2.1.2</w:t>
      </w:r>
      <w:r>
        <w:rPr>
          <w:rFonts w:hint="eastAsia" w:ascii="宋体" w:hAnsi="宋体"/>
        </w:rPr>
        <w:t>服务期：按标项内具体要求执行。</w:t>
      </w:r>
    </w:p>
    <w:p>
      <w:pPr>
        <w:pStyle w:val="12"/>
        <w:widowControl w:val="0"/>
        <w:tabs>
          <w:tab w:val="clear" w:pos="1697"/>
        </w:tabs>
        <w:spacing w:after="0" w:afterLines="0" w:line="360" w:lineRule="auto"/>
        <w:ind w:left="0" w:firstLine="0"/>
        <w:rPr>
          <w:rFonts w:hint="eastAsia" w:ascii="宋体" w:hAnsi="宋体"/>
          <w:szCs w:val="24"/>
        </w:rPr>
      </w:pPr>
      <w:r>
        <w:rPr>
          <w:rFonts w:hint="eastAsia" w:ascii="宋体" w:hAnsi="宋体"/>
          <w:b/>
          <w:szCs w:val="24"/>
        </w:rPr>
        <w:t>3.付款方式：</w:t>
      </w:r>
      <w:r>
        <w:rPr>
          <w:rFonts w:hint="eastAsia" w:ascii="宋体" w:hAnsi="宋体"/>
        </w:rPr>
        <w:t>按标项内具体要求执行。</w:t>
      </w:r>
    </w:p>
    <w:p>
      <w:pPr>
        <w:tabs>
          <w:tab w:val="left" w:pos="7950"/>
        </w:tabs>
        <w:spacing w:line="360" w:lineRule="auto"/>
        <w:jc w:val="left"/>
        <w:rPr>
          <w:rFonts w:hint="eastAsia" w:ascii="宋体" w:hAnsi="宋体"/>
          <w:b/>
          <w:sz w:val="24"/>
        </w:rPr>
      </w:pPr>
      <w:r>
        <w:rPr>
          <w:rFonts w:hint="eastAsia" w:ascii="宋体" w:hAnsi="宋体"/>
          <w:b/>
          <w:sz w:val="24"/>
        </w:rPr>
        <w:t>4.合同修改</w:t>
      </w:r>
    </w:p>
    <w:p>
      <w:pPr>
        <w:pStyle w:val="12"/>
        <w:widowControl w:val="0"/>
        <w:tabs>
          <w:tab w:val="clear" w:pos="1697"/>
        </w:tabs>
        <w:spacing w:after="0" w:afterLines="0" w:line="360" w:lineRule="auto"/>
        <w:ind w:left="0" w:leftChars="0" w:firstLine="0" w:firstLineChars="0"/>
        <w:rPr>
          <w:rFonts w:hint="eastAsia" w:ascii="宋体" w:hAnsi="宋体"/>
          <w:szCs w:val="24"/>
        </w:rPr>
      </w:pPr>
      <w:r>
        <w:rPr>
          <w:rFonts w:hint="eastAsia" w:ascii="宋体" w:hAnsi="宋体"/>
          <w:szCs w:val="24"/>
          <w:lang w:val="en-US" w:eastAsia="zh-CN"/>
        </w:rPr>
        <w:t xml:space="preserve">    </w:t>
      </w:r>
      <w:r>
        <w:rPr>
          <w:rFonts w:hint="eastAsia" w:ascii="宋体" w:hAnsi="宋体"/>
          <w:szCs w:val="24"/>
        </w:rPr>
        <w:t>双方的任何一方对合同内容提出修改，均应以书面形式通知对方，并达成由双方签署的合同修改书，须报政府监督管理部门批准。</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hint="eastAsia" w:ascii="宋体" w:hAnsi="宋体" w:cs="Times New Roman"/>
          <w:b/>
          <w:bCs/>
          <w:color w:val="auto"/>
          <w:szCs w:val="24"/>
          <w:highlight w:val="none"/>
        </w:rPr>
      </w:pPr>
      <w:r>
        <w:rPr>
          <w:rFonts w:hint="eastAsia" w:ascii="宋体" w:hAnsi="宋体" w:cs="Times New Roman"/>
          <w:b/>
          <w:bCs/>
          <w:color w:val="auto"/>
          <w:szCs w:val="24"/>
          <w:highlight w:val="none"/>
        </w:rPr>
        <w:t>5. 商品包装和快递包装要求</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hint="eastAsia"/>
        </w:rPr>
      </w:pPr>
      <w:r>
        <w:rPr>
          <w:rFonts w:hint="eastAsia" w:ascii="宋体" w:hAnsi="宋体" w:cs="Times New Roman"/>
          <w:color w:val="auto"/>
          <w:szCs w:val="24"/>
          <w:highlight w:val="none"/>
          <w:lang w:val="en-US" w:eastAsia="zh-CN"/>
        </w:rPr>
        <w:t xml:space="preserve">    </w:t>
      </w:r>
      <w:r>
        <w:rPr>
          <w:rFonts w:hint="eastAsia" w:ascii="宋体" w:hAnsi="宋体" w:cs="Times New Roman"/>
          <w:color w:val="auto"/>
          <w:szCs w:val="24"/>
          <w:highlight w:val="none"/>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w:t>
      </w:r>
      <w:r>
        <w:rPr>
          <w:rFonts w:hint="eastAsia" w:ascii="宋体" w:hAnsi="宋体" w:cs="Times New Roman"/>
          <w:color w:val="auto"/>
          <w:szCs w:val="24"/>
          <w:highlight w:val="none"/>
          <w:lang w:eastAsia="zh-CN"/>
        </w:rPr>
        <w:t>供应商</w:t>
      </w:r>
      <w:r>
        <w:rPr>
          <w:rFonts w:hint="eastAsia" w:ascii="宋体" w:hAnsi="宋体" w:cs="Times New Roman"/>
          <w:color w:val="auto"/>
          <w:szCs w:val="24"/>
          <w:highlight w:val="none"/>
        </w:rPr>
        <w:t>出具检测报告。</w:t>
      </w:r>
    </w:p>
    <w:p>
      <w:pPr>
        <w:keepNext w:val="0"/>
        <w:keepLines w:val="0"/>
        <w:pageBreakBefore w:val="0"/>
        <w:widowControl w:val="0"/>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b/>
          <w:color w:val="auto"/>
          <w:sz w:val="24"/>
          <w:highlight w:val="none"/>
        </w:rPr>
      </w:pPr>
      <w:r>
        <w:rPr>
          <w:rFonts w:hint="eastAsia" w:ascii="宋体" w:hAnsi="宋体"/>
          <w:b/>
          <w:color w:val="auto"/>
          <w:sz w:val="24"/>
          <w:highlight w:val="none"/>
          <w:lang w:val="en-US" w:eastAsia="zh-CN"/>
        </w:rPr>
        <w:t>6</w:t>
      </w:r>
      <w:r>
        <w:rPr>
          <w:rFonts w:hint="eastAsia" w:ascii="宋体" w:hAnsi="宋体"/>
          <w:b/>
          <w:color w:val="auto"/>
          <w:sz w:val="24"/>
          <w:highlight w:val="none"/>
        </w:rPr>
        <w:t>. 质量标准和验收</w:t>
      </w:r>
    </w:p>
    <w:p>
      <w:pPr>
        <w:keepNext w:val="0"/>
        <w:keepLines w:val="0"/>
        <w:pageBreakBefore w:val="0"/>
        <w:widowControl w:val="0"/>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.1中标人提供的产品及服务必须是经合法途径取得的。</w:t>
      </w:r>
    </w:p>
    <w:p>
      <w:pPr>
        <w:keepNext w:val="0"/>
        <w:keepLines w:val="0"/>
        <w:pageBreakBefore w:val="0"/>
        <w:widowControl w:val="0"/>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.2中标人应按现行的国家或行业技术及验收标准和采购文件的规定提供工程、货物或服务，因中标人提供的工程、货物或服务达不到约定的质量标准，中标人承担违约责任。</w:t>
      </w:r>
    </w:p>
    <w:p>
      <w:pPr>
        <w:keepNext w:val="0"/>
        <w:keepLines w:val="0"/>
        <w:pageBreakBefore w:val="0"/>
        <w:widowControl w:val="0"/>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.3验收由使用单位按规定组织相关人员或专家进行。</w:t>
      </w:r>
    </w:p>
    <w:p>
      <w:pPr>
        <w:keepNext w:val="0"/>
        <w:keepLines w:val="0"/>
        <w:pageBreakBefore w:val="0"/>
        <w:widowControl w:val="0"/>
        <w:kinsoku/>
        <w:wordWrap/>
        <w:overflowPunct/>
        <w:topLinePunct w:val="0"/>
        <w:autoSpaceDE/>
        <w:autoSpaceDN/>
        <w:bidi w:val="0"/>
        <w:adjustRightInd/>
        <w:spacing w:line="440" w:lineRule="exact"/>
        <w:ind w:right="0" w:rightChars="0" w:hanging="2"/>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6</w:t>
      </w:r>
      <w:r>
        <w:rPr>
          <w:rFonts w:hint="eastAsia" w:ascii="宋体" w:hAnsi="宋体"/>
          <w:color w:val="auto"/>
          <w:sz w:val="24"/>
          <w:highlight w:val="none"/>
        </w:rPr>
        <w:t>.4双方对工程、货物或服务的质量有争议的，由双方同意的专业检测机构鉴定，所需费及因此造成的损失由责任方承担，双方均有责任的，双方根据其责任分别承担。</w:t>
      </w:r>
    </w:p>
    <w:p>
      <w:pPr>
        <w:keepNext w:val="0"/>
        <w:keepLines w:val="0"/>
        <w:pageBreakBefore w:val="0"/>
        <w:widowControl w:val="0"/>
        <w:kinsoku/>
        <w:wordWrap/>
        <w:overflowPunct/>
        <w:topLinePunct w:val="0"/>
        <w:autoSpaceDE/>
        <w:autoSpaceDN/>
        <w:bidi w:val="0"/>
        <w:adjustRightInd/>
        <w:spacing w:line="440" w:lineRule="exact"/>
        <w:ind w:right="0" w:rightChars="0" w:hanging="2"/>
        <w:jc w:val="left"/>
        <w:textAlignment w:val="auto"/>
        <w:outlineLvl w:val="9"/>
        <w:rPr>
          <w:rFonts w:ascii="宋体" w:hAnsi="宋体"/>
          <w:b/>
          <w:color w:val="auto"/>
          <w:sz w:val="24"/>
          <w:highlight w:val="none"/>
        </w:rPr>
      </w:pPr>
      <w:r>
        <w:rPr>
          <w:rFonts w:hint="eastAsia" w:ascii="宋体" w:hAnsi="宋体"/>
          <w:b/>
          <w:color w:val="auto"/>
          <w:sz w:val="24"/>
          <w:highlight w:val="none"/>
          <w:lang w:val="en-US" w:eastAsia="zh-CN"/>
        </w:rPr>
        <w:t>7</w:t>
      </w:r>
      <w:r>
        <w:rPr>
          <w:rFonts w:hint="eastAsia" w:ascii="宋体" w:hAnsi="宋体"/>
          <w:b/>
          <w:color w:val="auto"/>
          <w:sz w:val="24"/>
          <w:highlight w:val="none"/>
        </w:rPr>
        <w:t>.违约责任</w:t>
      </w:r>
    </w:p>
    <w:p>
      <w:pPr>
        <w:pStyle w:val="19"/>
        <w:keepNext w:val="0"/>
        <w:keepLines w:val="0"/>
        <w:pageBreakBefore w:val="0"/>
        <w:widowControl w:val="0"/>
        <w:numPr>
          <w:ilvl w:val="0"/>
          <w:numId w:val="0"/>
        </w:numPr>
        <w:tabs>
          <w:tab w:val="left" w:pos="1540"/>
        </w:tabs>
        <w:kinsoku/>
        <w:wordWrap/>
        <w:overflowPunct/>
        <w:topLinePunct w:val="0"/>
        <w:autoSpaceDE/>
        <w:autoSpaceDN/>
        <w:bidi w:val="0"/>
        <w:adjustRightInd/>
        <w:spacing w:afterLines="0" w:line="440" w:lineRule="exact"/>
        <w:ind w:leftChars="-1" w:right="0" w:rightChars="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7</w:t>
      </w:r>
      <w:r>
        <w:rPr>
          <w:rFonts w:hint="eastAsia" w:ascii="宋体" w:hAnsi="宋体"/>
          <w:color w:val="auto"/>
          <w:szCs w:val="24"/>
          <w:highlight w:val="none"/>
        </w:rPr>
        <w:t>.1提供的货物和服务质量必须达到合格，凡安装调试、设备试运转过程中发现的设备质量问题，中标人必须无偿返工直至符合质量要求，承担返工所发生的一切费用和</w:t>
      </w:r>
      <w:r>
        <w:rPr>
          <w:rFonts w:hint="eastAsia" w:ascii="宋体" w:hAnsi="宋体"/>
          <w:color w:val="auto"/>
          <w:szCs w:val="24"/>
          <w:highlight w:val="none"/>
          <w:lang w:eastAsia="zh-CN"/>
        </w:rPr>
        <w:t>采购人</w:t>
      </w:r>
      <w:r>
        <w:rPr>
          <w:rFonts w:hint="eastAsia" w:ascii="宋体" w:hAnsi="宋体"/>
          <w:color w:val="auto"/>
          <w:szCs w:val="24"/>
          <w:highlight w:val="none"/>
        </w:rPr>
        <w:t>的直接经济损失。</w:t>
      </w:r>
    </w:p>
    <w:p>
      <w:pPr>
        <w:pStyle w:val="19"/>
        <w:keepNext w:val="0"/>
        <w:keepLines w:val="0"/>
        <w:pageBreakBefore w:val="0"/>
        <w:widowControl w:val="0"/>
        <w:numPr>
          <w:ilvl w:val="0"/>
          <w:numId w:val="0"/>
        </w:numPr>
        <w:tabs>
          <w:tab w:val="left" w:pos="1540"/>
        </w:tabs>
        <w:kinsoku/>
        <w:wordWrap/>
        <w:overflowPunct/>
        <w:topLinePunct w:val="0"/>
        <w:autoSpaceDE/>
        <w:autoSpaceDN/>
        <w:bidi w:val="0"/>
        <w:adjustRightInd/>
        <w:spacing w:afterLines="0" w:line="440" w:lineRule="exact"/>
        <w:ind w:leftChars="-1" w:right="0" w:rightChars="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7</w:t>
      </w:r>
      <w:r>
        <w:rPr>
          <w:rFonts w:hint="eastAsia" w:ascii="宋体" w:hAnsi="宋体"/>
          <w:color w:val="auto"/>
          <w:szCs w:val="24"/>
          <w:highlight w:val="none"/>
        </w:rPr>
        <w:t>.2由于</w:t>
      </w:r>
      <w:r>
        <w:rPr>
          <w:rFonts w:hint="eastAsia" w:ascii="宋体" w:hAnsi="宋体"/>
          <w:color w:val="auto"/>
          <w:szCs w:val="24"/>
          <w:highlight w:val="none"/>
          <w:lang w:eastAsia="zh-CN"/>
        </w:rPr>
        <w:t>采购人</w:t>
      </w:r>
      <w:r>
        <w:rPr>
          <w:rFonts w:hint="eastAsia" w:ascii="宋体" w:hAnsi="宋体"/>
          <w:color w:val="auto"/>
          <w:szCs w:val="24"/>
          <w:highlight w:val="none"/>
        </w:rPr>
        <w:t>保管不善或使用不当造成设备短缺、故障或损坏，中标人协助</w:t>
      </w:r>
      <w:r>
        <w:rPr>
          <w:rFonts w:hint="eastAsia" w:ascii="宋体" w:hAnsi="宋体"/>
          <w:color w:val="auto"/>
          <w:szCs w:val="24"/>
          <w:highlight w:val="none"/>
          <w:lang w:eastAsia="zh-CN"/>
        </w:rPr>
        <w:t>采购人</w:t>
      </w:r>
      <w:r>
        <w:rPr>
          <w:rFonts w:hint="eastAsia" w:ascii="宋体" w:hAnsi="宋体"/>
          <w:color w:val="auto"/>
          <w:szCs w:val="24"/>
          <w:highlight w:val="none"/>
        </w:rPr>
        <w:t>及时给予补齐或修复。</w:t>
      </w:r>
    </w:p>
    <w:p>
      <w:pPr>
        <w:pStyle w:val="12"/>
        <w:keepNext w:val="0"/>
        <w:keepLines w:val="0"/>
        <w:pageBreakBefore w:val="0"/>
        <w:widowControl w:val="0"/>
        <w:tabs>
          <w:tab w:val="left" w:pos="1560"/>
          <w:tab w:val="clear" w:pos="1697"/>
        </w:tabs>
        <w:kinsoku/>
        <w:wordWrap/>
        <w:overflowPunct/>
        <w:topLinePunct w:val="0"/>
        <w:autoSpaceDE/>
        <w:autoSpaceDN/>
        <w:bidi w:val="0"/>
        <w:adjustRightInd/>
        <w:spacing w:afterLines="0" w:line="440" w:lineRule="exact"/>
        <w:ind w:left="-2" w:leftChars="-1" w:right="0" w:rightChars="0" w:firstLine="0"/>
        <w:textAlignment w:val="auto"/>
        <w:outlineLvl w:val="9"/>
        <w:rPr>
          <w:rFonts w:ascii="宋体" w:hAnsi="宋体"/>
          <w:b/>
          <w:color w:val="auto"/>
          <w:szCs w:val="24"/>
          <w:highlight w:val="none"/>
        </w:rPr>
      </w:pPr>
      <w:r>
        <w:rPr>
          <w:rFonts w:hint="eastAsia" w:ascii="宋体" w:hAnsi="宋体"/>
          <w:b/>
          <w:color w:val="auto"/>
          <w:szCs w:val="24"/>
          <w:highlight w:val="none"/>
          <w:lang w:val="en-US" w:eastAsia="zh-CN"/>
        </w:rPr>
        <w:t>8</w:t>
      </w:r>
      <w:r>
        <w:rPr>
          <w:rFonts w:hint="eastAsia" w:ascii="宋体" w:hAnsi="宋体"/>
          <w:b/>
          <w:color w:val="auto"/>
          <w:szCs w:val="24"/>
          <w:highlight w:val="none"/>
        </w:rPr>
        <w:t>．违约赔偿</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outlineLvl w:val="9"/>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.1除不可抗力外，如中标人发生不能按期完成供货任务，</w:t>
      </w:r>
      <w:r>
        <w:rPr>
          <w:rFonts w:hint="eastAsia" w:ascii="宋体" w:hAnsi="宋体"/>
          <w:color w:val="auto"/>
          <w:sz w:val="24"/>
          <w:highlight w:val="none"/>
          <w:lang w:eastAsia="zh-CN"/>
        </w:rPr>
        <w:t>采购人</w:t>
      </w:r>
      <w:r>
        <w:rPr>
          <w:rFonts w:hint="eastAsia" w:ascii="宋体" w:hAnsi="宋体"/>
          <w:color w:val="auto"/>
          <w:sz w:val="24"/>
          <w:highlight w:val="none"/>
        </w:rPr>
        <w:t>发生中途变更等情况，应及时以书面形式通知对方。双方应本着友好的态度进行协商，妥善解决。如协商无效，按规定处以违约金。</w:t>
      </w:r>
    </w:p>
    <w:p>
      <w:pPr>
        <w:keepNext w:val="0"/>
        <w:keepLines w:val="0"/>
        <w:pageBreakBefore w:val="0"/>
        <w:widowControl w:val="0"/>
        <w:tabs>
          <w:tab w:val="left" w:pos="3870"/>
          <w:tab w:val="left" w:pos="4085"/>
        </w:tabs>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kern w:val="0"/>
          <w:sz w:val="24"/>
          <w:highlight w:val="none"/>
          <w:lang w:val="en-US" w:eastAsia="zh-CN"/>
        </w:rPr>
        <w:t>8</w:t>
      </w:r>
      <w:r>
        <w:rPr>
          <w:rFonts w:hint="eastAsia" w:ascii="宋体" w:hAnsi="宋体"/>
          <w:color w:val="auto"/>
          <w:kern w:val="0"/>
          <w:sz w:val="24"/>
          <w:highlight w:val="none"/>
        </w:rPr>
        <w:t xml:space="preserve">.2 </w:t>
      </w:r>
      <w:r>
        <w:rPr>
          <w:rFonts w:hint="eastAsia" w:ascii="宋体" w:hAnsi="宋体"/>
          <w:color w:val="auto"/>
          <w:sz w:val="24"/>
          <w:highlight w:val="none"/>
        </w:rPr>
        <w:t>中标人和采购人签订合同，按合同规定的供货时间供货并安装调试完毕。逾期每推迟一天，扣中标价0.1%的滞纳金给采购人。</w:t>
      </w:r>
    </w:p>
    <w:p>
      <w:pPr>
        <w:keepNext w:val="0"/>
        <w:keepLines w:val="0"/>
        <w:pageBreakBefore w:val="0"/>
        <w:widowControl w:val="0"/>
        <w:kinsoku/>
        <w:wordWrap/>
        <w:overflowPunct/>
        <w:topLinePunct w:val="0"/>
        <w:autoSpaceDE/>
        <w:autoSpaceDN/>
        <w:bidi w:val="0"/>
        <w:adjustRightInd/>
        <w:snapToGrid w:val="0"/>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8</w:t>
      </w:r>
      <w:r>
        <w:rPr>
          <w:rFonts w:hint="eastAsia" w:ascii="宋体" w:hAnsi="宋体"/>
          <w:color w:val="auto"/>
          <w:sz w:val="24"/>
          <w:highlight w:val="none"/>
        </w:rPr>
        <w:t>.3</w:t>
      </w:r>
      <w:r>
        <w:rPr>
          <w:rFonts w:hint="eastAsia" w:ascii="宋体" w:hAnsi="宋体"/>
          <w:color w:val="auto"/>
          <w:sz w:val="24"/>
          <w:highlight w:val="none"/>
          <w:lang w:eastAsia="zh-CN"/>
        </w:rPr>
        <w:t>采购人</w:t>
      </w:r>
      <w:r>
        <w:rPr>
          <w:rFonts w:hint="eastAsia" w:ascii="宋体" w:hAnsi="宋体"/>
          <w:color w:val="auto"/>
          <w:sz w:val="24"/>
          <w:highlight w:val="none"/>
        </w:rPr>
        <w:t>在规定时间无正当理由拒签合同者，以招标违约处理，并赔偿中标人由此造成的直接经济损失。</w:t>
      </w: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ascii="宋体" w:hAnsi="宋体"/>
          <w:b/>
          <w:color w:val="auto"/>
          <w:sz w:val="24"/>
          <w:highlight w:val="none"/>
        </w:rPr>
      </w:pPr>
      <w:r>
        <w:rPr>
          <w:rFonts w:hint="eastAsia" w:ascii="宋体" w:hAnsi="宋体"/>
          <w:b/>
          <w:color w:val="auto"/>
          <w:sz w:val="24"/>
          <w:highlight w:val="none"/>
          <w:lang w:val="en-US" w:eastAsia="zh-CN"/>
        </w:rPr>
        <w:t>9</w:t>
      </w:r>
      <w:r>
        <w:rPr>
          <w:rFonts w:hint="eastAsia" w:ascii="宋体" w:hAnsi="宋体"/>
          <w:b/>
          <w:color w:val="auto"/>
          <w:sz w:val="24"/>
          <w:highlight w:val="none"/>
        </w:rPr>
        <w:t>.不可抗力</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9</w:t>
      </w:r>
      <w:r>
        <w:rPr>
          <w:rFonts w:hint="eastAsia" w:ascii="宋体" w:hAnsi="宋体"/>
          <w:color w:val="auto"/>
          <w:szCs w:val="24"/>
          <w:highlight w:val="none"/>
        </w:rPr>
        <w:t>.1如果双方中任何一方由于战争、严重火灾、水灾、台风和地震以及其它经双方同意属于不可抗力的事故，致使合同履行受阻时，履行合同的期限应予延长，延长的期限应相当于事故所影响的时间。</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9</w:t>
      </w:r>
      <w:r>
        <w:rPr>
          <w:rFonts w:hint="eastAsia" w:ascii="宋体" w:hAnsi="宋体"/>
          <w:color w:val="auto"/>
          <w:szCs w:val="24"/>
          <w:highlight w:val="none"/>
        </w:rPr>
        <w:t>.2受事故影响的一方应在不可抗力的事故发生后尽快以电报或电传通知另一方，并在事故发生后14天内，将有关部门出具的证明文件用挂号信航寄给或送给另一方。如果不可抗力影响时间延续120天以上的，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ascii="宋体" w:hAnsi="宋体"/>
          <w:b/>
          <w:color w:val="auto"/>
          <w:sz w:val="24"/>
          <w:highlight w:val="none"/>
        </w:rPr>
      </w:pPr>
      <w:r>
        <w:rPr>
          <w:rFonts w:hint="eastAsia" w:ascii="宋体" w:hAnsi="宋体"/>
          <w:b/>
          <w:color w:val="auto"/>
          <w:sz w:val="24"/>
          <w:highlight w:val="none"/>
          <w:lang w:val="en-US" w:eastAsia="zh-CN"/>
        </w:rPr>
        <w:t>10</w:t>
      </w:r>
      <w:r>
        <w:rPr>
          <w:rFonts w:hint="eastAsia" w:ascii="宋体" w:hAnsi="宋体"/>
          <w:b/>
          <w:color w:val="auto"/>
          <w:sz w:val="24"/>
          <w:highlight w:val="none"/>
        </w:rPr>
        <w:t>.解决合同纠纷的方式</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10</w:t>
      </w:r>
      <w:r>
        <w:rPr>
          <w:rFonts w:hint="eastAsia" w:ascii="宋体" w:hAnsi="宋体"/>
          <w:color w:val="auto"/>
          <w:szCs w:val="24"/>
          <w:highlight w:val="none"/>
        </w:rPr>
        <w:t>.1凡有关本合同或与本合同中发生的争端，双方应通过友好协商，妥善解决。如通过协商仍不能解决时，可向当地的仲裁机构申请仲裁或人民法院起诉。</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10</w:t>
      </w:r>
      <w:r>
        <w:rPr>
          <w:rFonts w:hint="eastAsia" w:ascii="宋体" w:hAnsi="宋体"/>
          <w:color w:val="auto"/>
          <w:szCs w:val="24"/>
          <w:highlight w:val="none"/>
        </w:rPr>
        <w:t>.2仲裁和诉讼费用除仲裁机构和人民法院另有裁决外，由败诉方承担。</w:t>
      </w:r>
    </w:p>
    <w:p>
      <w:pPr>
        <w:pStyle w:val="12"/>
        <w:keepNext w:val="0"/>
        <w:keepLines w:val="0"/>
        <w:pageBreakBefore w:val="0"/>
        <w:widowControl w:val="0"/>
        <w:tabs>
          <w:tab w:val="clear" w:pos="1697"/>
        </w:tabs>
        <w:kinsoku/>
        <w:wordWrap/>
        <w:overflowPunct/>
        <w:topLinePunct w:val="0"/>
        <w:autoSpaceDE/>
        <w:autoSpaceDN/>
        <w:bidi w:val="0"/>
        <w:adjustRightInd/>
        <w:spacing w:afterLines="0" w:line="440" w:lineRule="exact"/>
        <w:ind w:left="0" w:right="0" w:rightChars="0" w:firstLine="0"/>
        <w:textAlignment w:val="auto"/>
        <w:outlineLvl w:val="9"/>
        <w:rPr>
          <w:rFonts w:ascii="宋体" w:hAnsi="宋体"/>
          <w:color w:val="auto"/>
          <w:szCs w:val="24"/>
          <w:highlight w:val="none"/>
        </w:rPr>
      </w:pPr>
      <w:r>
        <w:rPr>
          <w:rFonts w:hint="eastAsia" w:ascii="宋体" w:hAnsi="宋体"/>
          <w:color w:val="auto"/>
          <w:szCs w:val="24"/>
          <w:highlight w:val="none"/>
          <w:lang w:val="en-US" w:eastAsia="zh-CN"/>
        </w:rPr>
        <w:t>10</w:t>
      </w:r>
      <w:r>
        <w:rPr>
          <w:rFonts w:hint="eastAsia" w:ascii="宋体" w:hAnsi="宋体"/>
          <w:color w:val="auto"/>
          <w:szCs w:val="24"/>
          <w:highlight w:val="none"/>
        </w:rPr>
        <w:t>.3在仲裁和诉讼期间，除正在进行裁定的部分外，本合同其他部分应继续执行。</w:t>
      </w:r>
    </w:p>
    <w:p>
      <w:pPr>
        <w:keepNext w:val="0"/>
        <w:keepLines w:val="0"/>
        <w:pageBreakBefore w:val="0"/>
        <w:widowControl w:val="0"/>
        <w:kinsoku/>
        <w:wordWrap/>
        <w:overflowPunct/>
        <w:topLinePunct w:val="0"/>
        <w:autoSpaceDE/>
        <w:autoSpaceDN/>
        <w:bidi w:val="0"/>
        <w:adjustRightInd/>
        <w:spacing w:line="440" w:lineRule="exact"/>
        <w:ind w:right="0" w:rightChars="0"/>
        <w:jc w:val="left"/>
        <w:textAlignment w:val="auto"/>
        <w:outlineLvl w:val="9"/>
        <w:rPr>
          <w:rFonts w:ascii="宋体" w:hAnsi="宋体"/>
          <w:color w:val="auto"/>
          <w:sz w:val="24"/>
          <w:highlight w:val="none"/>
        </w:rPr>
      </w:pPr>
      <w:r>
        <w:rPr>
          <w:rFonts w:hint="eastAsia" w:ascii="宋体" w:hAnsi="宋体"/>
          <w:color w:val="auto"/>
          <w:sz w:val="24"/>
          <w:highlight w:val="none"/>
          <w:lang w:val="en-US" w:eastAsia="zh-CN"/>
        </w:rPr>
        <w:t>10</w:t>
      </w:r>
      <w:r>
        <w:rPr>
          <w:rFonts w:hint="eastAsia" w:ascii="宋体" w:hAnsi="宋体"/>
          <w:color w:val="auto"/>
          <w:sz w:val="24"/>
          <w:highlight w:val="none"/>
        </w:rPr>
        <w:t>.4合同应在双方签字盖章后开始生效。</w:t>
      </w:r>
    </w:p>
    <w:p>
      <w:pPr>
        <w:keepNext w:val="0"/>
        <w:keepLines w:val="0"/>
        <w:pageBreakBefore w:val="0"/>
        <w:widowControl w:val="0"/>
        <w:kinsoku/>
        <w:wordWrap/>
        <w:overflowPunct/>
        <w:topLinePunct w:val="0"/>
        <w:autoSpaceDE/>
        <w:autoSpaceDN/>
        <w:bidi w:val="0"/>
        <w:adjustRightInd/>
        <w:spacing w:line="440" w:lineRule="exact"/>
        <w:ind w:right="0" w:rightChars="0"/>
        <w:textAlignment w:val="auto"/>
        <w:outlineLvl w:val="9"/>
        <w:rPr>
          <w:rFonts w:hint="eastAsia" w:ascii="宋体" w:hAnsi="宋体"/>
          <w:color w:val="auto"/>
          <w:sz w:val="24"/>
          <w:highlight w:val="none"/>
        </w:rPr>
      </w:pPr>
      <w:r>
        <w:rPr>
          <w:rFonts w:hint="eastAsia" w:ascii="宋体" w:hAnsi="宋体"/>
          <w:color w:val="auto"/>
          <w:sz w:val="24"/>
          <w:highlight w:val="none"/>
        </w:rPr>
        <w:t>（注：在正式签约时，根据上述精神应拟就更为详尽的合同书）</w:t>
      </w:r>
    </w:p>
    <w:p>
      <w:pPr>
        <w:pStyle w:val="21"/>
        <w:spacing w:line="360" w:lineRule="auto"/>
        <w:rPr>
          <w:rFonts w:hint="eastAsia" w:hAnsi="宋体"/>
          <w:b/>
          <w:sz w:val="36"/>
          <w:szCs w:val="36"/>
        </w:rPr>
      </w:pPr>
    </w:p>
    <w:p>
      <w:pPr>
        <w:pStyle w:val="21"/>
        <w:spacing w:line="360" w:lineRule="auto"/>
        <w:ind w:firstLine="723"/>
        <w:jc w:val="center"/>
        <w:rPr>
          <w:rFonts w:hint="eastAsia" w:hAnsi="宋体"/>
          <w:b/>
          <w:sz w:val="36"/>
          <w:szCs w:val="36"/>
        </w:rPr>
      </w:pPr>
    </w:p>
    <w:p>
      <w:pPr>
        <w:pStyle w:val="21"/>
        <w:spacing w:line="360" w:lineRule="auto"/>
        <w:ind w:firstLine="723"/>
        <w:jc w:val="center"/>
        <w:rPr>
          <w:rFonts w:hint="eastAsia" w:hAnsi="宋体"/>
          <w:b/>
          <w:sz w:val="36"/>
          <w:szCs w:val="36"/>
        </w:rPr>
      </w:pPr>
      <w:r>
        <w:rPr>
          <w:rFonts w:hint="eastAsia" w:hAnsi="宋体"/>
          <w:b/>
          <w:sz w:val="36"/>
          <w:szCs w:val="36"/>
        </w:rPr>
        <w:t>第五部分  磋商方法及标准</w:t>
      </w:r>
    </w:p>
    <w:p>
      <w:pPr>
        <w:spacing w:line="360" w:lineRule="auto"/>
        <w:jc w:val="left"/>
        <w:rPr>
          <w:rFonts w:hint="eastAsia" w:ascii="宋体" w:hAnsi="宋体"/>
          <w:b/>
          <w:sz w:val="24"/>
        </w:rPr>
      </w:pPr>
      <w:r>
        <w:rPr>
          <w:rFonts w:hint="eastAsia" w:ascii="宋体" w:hAnsi="宋体"/>
          <w:b/>
          <w:sz w:val="24"/>
        </w:rPr>
        <w:t>1、磋商方法：</w:t>
      </w:r>
    </w:p>
    <w:p>
      <w:pPr>
        <w:spacing w:line="360" w:lineRule="auto"/>
        <w:ind w:firstLine="480" w:firstLineChars="200"/>
        <w:jc w:val="left"/>
        <w:rPr>
          <w:rFonts w:hint="eastAsia" w:ascii="宋体" w:hAnsi="宋体"/>
          <w:sz w:val="24"/>
        </w:rPr>
      </w:pPr>
      <w:r>
        <w:rPr>
          <w:rFonts w:hint="eastAsia" w:ascii="宋体" w:hAnsi="宋体"/>
          <w:sz w:val="24"/>
        </w:rPr>
        <w:t>采用综合评分法，磋商响应文件满足磋商文件全部实质性要求且按照评审因素的量化指标评审得分最高的</w:t>
      </w:r>
      <w:r>
        <w:rPr>
          <w:rFonts w:hint="eastAsia" w:ascii="宋体" w:hAnsi="宋体"/>
          <w:sz w:val="24"/>
          <w:lang w:eastAsia="zh-CN"/>
        </w:rPr>
        <w:t>投标单位</w:t>
      </w:r>
      <w:r>
        <w:rPr>
          <w:rFonts w:hint="eastAsia" w:ascii="宋体" w:hAnsi="宋体"/>
          <w:sz w:val="24"/>
        </w:rPr>
        <w:t>为中标候选人。经各磋商小组各成员独立打分，按总得分从高到低顺序推荐确定中标候选人。评审得分相同的，按照最后报价由低到高的顺序推荐。评审得分且最后报价相同的，按照技术指标优劣顺序推荐。</w:t>
      </w:r>
    </w:p>
    <w:p>
      <w:pPr>
        <w:spacing w:line="360" w:lineRule="auto"/>
        <w:rPr>
          <w:rFonts w:hint="eastAsia" w:ascii="宋体" w:hAnsi="宋体"/>
          <w:b/>
          <w:sz w:val="24"/>
        </w:rPr>
      </w:pPr>
      <w:r>
        <w:rPr>
          <w:rFonts w:hint="eastAsia" w:ascii="宋体" w:hAnsi="宋体"/>
          <w:b/>
          <w:sz w:val="24"/>
        </w:rPr>
        <w:t>2.评审标准：</w:t>
      </w:r>
      <w:r>
        <w:rPr>
          <w:rFonts w:hint="eastAsia" w:ascii="宋体" w:hAnsi="宋体"/>
          <w:sz w:val="24"/>
        </w:rPr>
        <w:t>共100分，其中技术分</w:t>
      </w:r>
      <w:r>
        <w:rPr>
          <w:rFonts w:hint="eastAsia" w:ascii="宋体" w:hAnsi="宋体"/>
          <w:sz w:val="24"/>
          <w:lang w:val="en-US" w:eastAsia="zh-CN"/>
        </w:rPr>
        <w:t>60</w:t>
      </w:r>
      <w:r>
        <w:rPr>
          <w:rFonts w:hint="eastAsia" w:ascii="宋体" w:hAnsi="宋体"/>
          <w:sz w:val="24"/>
        </w:rPr>
        <w:t>分</w:t>
      </w:r>
      <w:r>
        <w:rPr>
          <w:rFonts w:hint="eastAsia" w:ascii="宋体" w:hAnsi="宋体"/>
          <w:sz w:val="24"/>
          <w:lang w:eastAsia="zh-CN"/>
        </w:rPr>
        <w:t>，</w:t>
      </w:r>
      <w:r>
        <w:rPr>
          <w:rFonts w:hint="eastAsia" w:ascii="宋体" w:hAnsi="宋体"/>
          <w:sz w:val="24"/>
        </w:rPr>
        <w:t>商务分</w:t>
      </w:r>
      <w:r>
        <w:rPr>
          <w:rFonts w:hint="eastAsia" w:ascii="宋体" w:hAnsi="宋体"/>
          <w:sz w:val="24"/>
          <w:lang w:val="en-US" w:eastAsia="zh-CN"/>
        </w:rPr>
        <w:t>40</w:t>
      </w:r>
      <w:r>
        <w:rPr>
          <w:rFonts w:hint="eastAsia" w:ascii="宋体" w:hAnsi="宋体"/>
          <w:sz w:val="24"/>
        </w:rPr>
        <w:t>分。评分依下述所列为评审打分依据，分值如下（本次磋商小组由3人及以上单数组成，评分计算分值时，平均值保留小数2位）。</w:t>
      </w:r>
    </w:p>
    <w:p>
      <w:pPr>
        <w:spacing w:line="440" w:lineRule="exact"/>
        <w:rPr>
          <w:rFonts w:hint="eastAsia" w:ascii="宋体" w:hAnsi="宋体"/>
          <w:b/>
          <w:sz w:val="24"/>
        </w:rPr>
      </w:pPr>
      <w:r>
        <w:rPr>
          <w:rFonts w:hint="eastAsia" w:ascii="宋体" w:hAnsi="宋体"/>
          <w:b/>
          <w:sz w:val="24"/>
        </w:rPr>
        <w:t>2.</w:t>
      </w:r>
      <w:r>
        <w:rPr>
          <w:rFonts w:hint="eastAsia" w:ascii="宋体" w:hAnsi="宋体"/>
          <w:b/>
          <w:sz w:val="24"/>
          <w:lang w:val="en-US" w:eastAsia="zh-CN"/>
        </w:rPr>
        <w:t>1</w:t>
      </w:r>
      <w:r>
        <w:rPr>
          <w:rFonts w:hint="eastAsia" w:ascii="宋体" w:hAnsi="宋体"/>
          <w:b/>
          <w:sz w:val="24"/>
        </w:rPr>
        <w:t>技术分（</w:t>
      </w:r>
      <w:r>
        <w:rPr>
          <w:rFonts w:hint="eastAsia" w:ascii="宋体" w:hAnsi="宋体"/>
          <w:b/>
          <w:sz w:val="24"/>
          <w:lang w:val="en-US" w:eastAsia="zh-CN"/>
        </w:rPr>
        <w:t>60</w:t>
      </w:r>
      <w:r>
        <w:rPr>
          <w:rFonts w:hint="eastAsia" w:ascii="宋体" w:hAnsi="宋体"/>
          <w:b/>
          <w:sz w:val="24"/>
        </w:rPr>
        <w:t>分）</w:t>
      </w:r>
    </w:p>
    <w:tbl>
      <w:tblPr>
        <w:tblStyle w:val="40"/>
        <w:tblpPr w:leftFromText="180" w:rightFromText="180" w:vertAnchor="text" w:horzAnchor="page" w:tblpX="1521" w:tblpY="758"/>
        <w:tblOverlap w:val="never"/>
        <w:tblW w:w="92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8"/>
        <w:gridCol w:w="7128"/>
        <w:gridCol w:w="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5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iCs/>
                <w:sz w:val="24"/>
                <w:vertAlign w:val="baseline"/>
                <w:lang w:val="en-US" w:eastAsia="zh-CN"/>
              </w:rPr>
            </w:pPr>
            <w:r>
              <w:rPr>
                <w:rFonts w:hint="eastAsia" w:ascii="宋体" w:hAnsi="宋体" w:eastAsia="宋体" w:cs="宋体"/>
                <w:b/>
                <w:bCs/>
                <w:iCs/>
                <w:sz w:val="24"/>
                <w:vertAlign w:val="baseline"/>
                <w:lang w:val="en-US" w:eastAsia="zh-CN"/>
              </w:rPr>
              <w:t>评审内容</w:t>
            </w:r>
          </w:p>
        </w:tc>
        <w:tc>
          <w:tcPr>
            <w:tcW w:w="7128"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iCs/>
                <w:sz w:val="24"/>
                <w:vertAlign w:val="baseline"/>
                <w:lang w:val="en-US" w:eastAsia="zh-CN"/>
              </w:rPr>
            </w:pPr>
            <w:r>
              <w:rPr>
                <w:rFonts w:hint="eastAsia" w:ascii="宋体" w:hAnsi="宋体" w:eastAsia="宋体" w:cs="宋体"/>
                <w:b/>
                <w:bCs/>
                <w:iCs/>
                <w:sz w:val="24"/>
                <w:vertAlign w:val="baseline"/>
                <w:lang w:val="en-US" w:eastAsia="zh-CN"/>
              </w:rPr>
              <w:t>评分标准</w:t>
            </w:r>
          </w:p>
        </w:tc>
        <w:tc>
          <w:tcPr>
            <w:tcW w:w="769" w:type="dxa"/>
            <w:vAlign w:val="center"/>
          </w:tcPr>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b/>
                <w:bCs/>
                <w:iCs/>
                <w:sz w:val="24"/>
                <w:vertAlign w:val="baseline"/>
                <w:lang w:val="en-US" w:eastAsia="zh-CN"/>
              </w:rPr>
            </w:pPr>
            <w:r>
              <w:rPr>
                <w:rFonts w:hint="eastAsia" w:ascii="宋体" w:hAnsi="宋体" w:eastAsia="宋体" w:cs="宋体"/>
                <w:b/>
                <w:bCs/>
                <w:iCs/>
                <w:sz w:val="24"/>
                <w:vertAlign w:val="baseline"/>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58" w:type="dxa"/>
            <w:vAlign w:val="center"/>
          </w:tcPr>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rFonts w:hint="eastAsia" w:ascii="宋体" w:hAnsi="宋体" w:eastAsia="宋体" w:cs="宋体"/>
                <w:color w:val="000000"/>
                <w:kern w:val="0"/>
                <w:sz w:val="24"/>
                <w:szCs w:val="24"/>
                <w:lang w:val="en-US" w:eastAsia="zh-CN" w:bidi="ar"/>
              </w:rPr>
            </w:pPr>
          </w:p>
          <w:p>
            <w:pPr>
              <w:keepNext w:val="0"/>
              <w:keepLines w:val="0"/>
              <w:widowControl/>
              <w:suppressLineNumbers w:val="0"/>
              <w:jc w:val="center"/>
              <w:rPr>
                <w:sz w:val="24"/>
                <w:szCs w:val="24"/>
              </w:rPr>
            </w:pPr>
            <w:r>
              <w:rPr>
                <w:rFonts w:hint="eastAsia" w:ascii="宋体" w:hAnsi="宋体" w:eastAsia="宋体" w:cs="宋体"/>
                <w:color w:val="000000"/>
                <w:kern w:val="0"/>
                <w:sz w:val="24"/>
                <w:szCs w:val="24"/>
                <w:lang w:val="en-US" w:eastAsia="zh-CN" w:bidi="ar"/>
              </w:rPr>
              <w:t>处罚情况</w:t>
            </w:r>
          </w:p>
          <w:p>
            <w:pPr>
              <w:pStyle w:val="21"/>
              <w:spacing w:line="360" w:lineRule="auto"/>
              <w:jc w:val="center"/>
              <w:rPr>
                <w:rFonts w:hint="eastAsia" w:ascii="宋体" w:hAnsi="宋体" w:eastAsia="宋体" w:cs="宋体"/>
                <w:b/>
                <w:bCs/>
                <w:iCs/>
                <w:sz w:val="24"/>
                <w:vertAlign w:val="baseline"/>
                <w:lang w:val="en-US" w:eastAsia="zh-CN"/>
              </w:rPr>
            </w:pPr>
          </w:p>
        </w:tc>
        <w:tc>
          <w:tcPr>
            <w:tcW w:w="7128" w:type="dxa"/>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bCs/>
                <w:iCs/>
                <w:sz w:val="24"/>
                <w:vertAlign w:val="baseline"/>
                <w:lang w:val="en-US" w:eastAsia="zh-CN"/>
              </w:rPr>
            </w:pPr>
            <w:r>
              <w:rPr>
                <w:rFonts w:hint="eastAsia"/>
                <w:color w:val="auto"/>
                <w:sz w:val="24"/>
                <w:lang w:val="en-US" w:eastAsia="zh-CN"/>
              </w:rPr>
              <w:t>投标人</w:t>
            </w:r>
            <w:r>
              <w:rPr>
                <w:rFonts w:hint="default"/>
                <w:color w:val="auto"/>
                <w:sz w:val="24"/>
                <w:lang w:val="en-US" w:eastAsia="zh-CN"/>
              </w:rPr>
              <w:t>从 201</w:t>
            </w:r>
            <w:r>
              <w:rPr>
                <w:rFonts w:hint="eastAsia"/>
                <w:color w:val="auto"/>
                <w:sz w:val="24"/>
                <w:lang w:val="en-US" w:eastAsia="zh-CN"/>
              </w:rPr>
              <w:t>8</w:t>
            </w:r>
            <w:r>
              <w:rPr>
                <w:rFonts w:hint="default"/>
                <w:color w:val="auto"/>
                <w:sz w:val="24"/>
                <w:lang w:val="en-US" w:eastAsia="zh-CN"/>
              </w:rPr>
              <w:t>年1月1日至今未受政府部门行政处罚得</w:t>
            </w:r>
            <w:r>
              <w:rPr>
                <w:rFonts w:hint="eastAsia"/>
                <w:color w:val="auto"/>
                <w:sz w:val="24"/>
                <w:lang w:val="en-US" w:eastAsia="zh-CN"/>
              </w:rPr>
              <w:t>4</w:t>
            </w:r>
            <w:r>
              <w:rPr>
                <w:rFonts w:hint="default" w:ascii="宋体" w:eastAsia="宋体"/>
                <w:color w:val="auto"/>
                <w:sz w:val="24"/>
                <w:lang w:val="en-US" w:eastAsia="zh-CN"/>
              </w:rPr>
              <w:t>分，受行政处罚的不得分。投标文件需提供信用中国网站截图（具体内容以投标截止日之前、采购公告发布之后信用中国网</w:t>
            </w:r>
            <w:r>
              <w:rPr>
                <w:rFonts w:hint="default"/>
                <w:color w:val="auto"/>
                <w:sz w:val="24"/>
                <w:lang w:val="en-US" w:eastAsia="zh-CN"/>
              </w:rPr>
              <w:t>站（www.creditchina.gov.cn）查询页面为准）</w:t>
            </w:r>
          </w:p>
        </w:tc>
        <w:tc>
          <w:tcPr>
            <w:tcW w:w="769" w:type="dxa"/>
            <w:vAlign w:val="center"/>
          </w:tcPr>
          <w:p>
            <w:pPr>
              <w:pStyle w:val="21"/>
              <w:spacing w:line="360" w:lineRule="auto"/>
              <w:jc w:val="center"/>
              <w:rPr>
                <w:rFonts w:hint="default" w:ascii="宋体" w:hAnsi="宋体" w:eastAsia="宋体" w:cs="宋体"/>
                <w:b/>
                <w:bCs/>
                <w:iCs/>
                <w:sz w:val="24"/>
                <w:vertAlign w:val="baseline"/>
                <w:lang w:val="en-US" w:eastAsia="zh-CN"/>
              </w:rPr>
            </w:pPr>
            <w:r>
              <w:rPr>
                <w:rFonts w:hint="eastAsia" w:hAnsi="宋体" w:cs="宋体"/>
                <w:b w:val="0"/>
                <w:bCs w:val="0"/>
                <w:iCs/>
                <w:sz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358" w:type="dxa"/>
            <w:vAlign w:val="center"/>
          </w:tcPr>
          <w:p>
            <w:pPr>
              <w:pStyle w:val="21"/>
              <w:spacing w:line="360" w:lineRule="auto"/>
              <w:jc w:val="center"/>
              <w:rPr>
                <w:rFonts w:hint="eastAsia" w:ascii="宋体" w:hAnsi="宋体" w:eastAsia="宋体" w:cs="宋体"/>
                <w:b/>
                <w:bCs/>
                <w:iCs/>
                <w:sz w:val="24"/>
                <w:vertAlign w:val="baseline"/>
                <w:lang w:val="en-US" w:eastAsia="zh-CN"/>
              </w:rPr>
            </w:pPr>
            <w:r>
              <w:rPr>
                <w:rFonts w:hint="eastAsia"/>
                <w:color w:val="auto"/>
                <w:sz w:val="24"/>
                <w:lang w:val="en-US" w:eastAsia="zh-CN"/>
              </w:rPr>
              <w:t>经营情况</w:t>
            </w:r>
          </w:p>
        </w:tc>
        <w:tc>
          <w:tcPr>
            <w:tcW w:w="7128" w:type="dxa"/>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b w:val="0"/>
                <w:bCs w:val="0"/>
                <w:iCs/>
                <w:sz w:val="24"/>
                <w:vertAlign w:val="baseline"/>
                <w:lang w:val="en-US" w:eastAsia="zh-CN"/>
              </w:rPr>
            </w:pPr>
            <w:r>
              <w:rPr>
                <w:rFonts w:hint="eastAsia"/>
                <w:b w:val="0"/>
                <w:bCs w:val="0"/>
                <w:color w:val="auto"/>
                <w:sz w:val="24"/>
                <w:lang w:val="en-US" w:eastAsia="zh-CN"/>
              </w:rPr>
              <w:t>投标人未被行政主管部门列入经营异常名录得4分，列入经营异常名录的不得分。响应文件需提供国家企业信用信息公示系统网站截图（具体内容以响应截止日之前、采购公告发布之后国家企业信用信息公示系统网站 （www.gsxt.gov.cn）查询页面为准）</w:t>
            </w:r>
          </w:p>
        </w:tc>
        <w:tc>
          <w:tcPr>
            <w:tcW w:w="769" w:type="dxa"/>
            <w:vAlign w:val="center"/>
          </w:tcPr>
          <w:p>
            <w:pPr>
              <w:pStyle w:val="21"/>
              <w:spacing w:line="360" w:lineRule="auto"/>
              <w:jc w:val="center"/>
              <w:rPr>
                <w:rFonts w:hint="default" w:ascii="宋体" w:hAnsi="宋体" w:eastAsia="宋体" w:cs="宋体"/>
                <w:b w:val="0"/>
                <w:bCs w:val="0"/>
                <w:iCs/>
                <w:sz w:val="24"/>
                <w:vertAlign w:val="baseline"/>
                <w:lang w:val="en-US" w:eastAsia="zh-CN"/>
              </w:rPr>
            </w:pPr>
            <w:r>
              <w:rPr>
                <w:rFonts w:hint="eastAsia" w:hAnsi="宋体" w:cs="宋体"/>
                <w:b w:val="0"/>
                <w:bCs w:val="0"/>
                <w:iCs/>
                <w:sz w:val="24"/>
                <w:vertAlign w:val="baseli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358"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投标单位业绩</w:t>
            </w:r>
          </w:p>
        </w:tc>
        <w:tc>
          <w:tcPr>
            <w:tcW w:w="7128"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2018年6月1日起至磋商截止时间止（以合同签订时间为准），投标</w:t>
            </w:r>
            <w:r>
              <w:rPr>
                <w:rFonts w:hint="eastAsia" w:ascii="宋体" w:hAnsi="宋体" w:cs="宋体"/>
                <w:kern w:val="0"/>
                <w:sz w:val="24"/>
                <w:szCs w:val="24"/>
                <w:lang w:val="en-US" w:eastAsia="zh-CN"/>
              </w:rPr>
              <w:t>人</w:t>
            </w:r>
            <w:r>
              <w:rPr>
                <w:rFonts w:hint="eastAsia" w:ascii="宋体" w:hAnsi="宋体" w:eastAsia="宋体" w:cs="宋体"/>
                <w:kern w:val="0"/>
                <w:sz w:val="24"/>
                <w:szCs w:val="24"/>
                <w:lang w:val="en-US" w:eastAsia="zh-CN"/>
              </w:rPr>
              <w:t>具有类似</w:t>
            </w:r>
            <w:r>
              <w:rPr>
                <w:rFonts w:hint="eastAsia" w:ascii="宋体" w:hAnsi="宋体" w:cs="宋体"/>
                <w:kern w:val="0"/>
                <w:sz w:val="24"/>
                <w:szCs w:val="24"/>
                <w:lang w:val="en-US" w:eastAsia="zh-CN"/>
              </w:rPr>
              <w:t>财务外包</w:t>
            </w:r>
            <w:r>
              <w:rPr>
                <w:rFonts w:hint="eastAsia" w:ascii="宋体" w:hAnsi="宋体" w:eastAsia="宋体" w:cs="宋体"/>
                <w:kern w:val="0"/>
                <w:sz w:val="24"/>
                <w:szCs w:val="24"/>
                <w:lang w:val="en-US" w:eastAsia="zh-CN"/>
              </w:rPr>
              <w:t>项目业绩的，每个业绩得</w:t>
            </w: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分，最高得</w:t>
            </w:r>
            <w:r>
              <w:rPr>
                <w:rFonts w:hint="eastAsia" w:ascii="宋体" w:hAnsi="宋体" w:cs="宋体"/>
                <w:kern w:val="0"/>
                <w:sz w:val="24"/>
                <w:szCs w:val="24"/>
                <w:lang w:val="en-US" w:eastAsia="zh-CN"/>
              </w:rPr>
              <w:t>8</w:t>
            </w:r>
            <w:r>
              <w:rPr>
                <w:rFonts w:hint="eastAsia" w:ascii="宋体" w:hAnsi="宋体" w:eastAsia="宋体" w:cs="宋体"/>
                <w:kern w:val="0"/>
                <w:sz w:val="24"/>
                <w:szCs w:val="24"/>
                <w:lang w:val="en-US" w:eastAsia="zh-CN"/>
              </w:rPr>
              <w:t>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eastAsia="zh-CN"/>
              </w:rPr>
            </w:pPr>
            <w:r>
              <w:rPr>
                <w:rFonts w:hint="eastAsia" w:ascii="宋体" w:hAnsi="宋体" w:eastAsia="宋体" w:cs="宋体"/>
                <w:b/>
                <w:bCs/>
                <w:kern w:val="0"/>
                <w:sz w:val="24"/>
                <w:szCs w:val="24"/>
                <w:lang w:val="en-US" w:eastAsia="zh-CN"/>
              </w:rPr>
              <w:t>注：提供原件复印件加盖公章，不提供不得分。</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358"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信用等级</w:t>
            </w:r>
          </w:p>
        </w:tc>
        <w:tc>
          <w:tcPr>
            <w:tcW w:w="7128"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投标</w:t>
            </w:r>
            <w:r>
              <w:rPr>
                <w:rFonts w:hint="eastAsia" w:ascii="宋体" w:hAnsi="宋体" w:cs="宋体"/>
                <w:kern w:val="0"/>
                <w:sz w:val="24"/>
                <w:szCs w:val="24"/>
                <w:lang w:val="en-US" w:eastAsia="zh-CN"/>
              </w:rPr>
              <w:t>人</w:t>
            </w:r>
            <w:r>
              <w:rPr>
                <w:rFonts w:hint="eastAsia" w:ascii="宋体" w:hAnsi="宋体" w:eastAsia="宋体" w:cs="宋体"/>
                <w:kern w:val="0"/>
                <w:sz w:val="24"/>
                <w:szCs w:val="24"/>
                <w:lang w:val="en-US" w:eastAsia="zh-CN"/>
              </w:rPr>
              <w:t>具有银行或第三方权威鉴定机构出具的3A信用等级证书的得</w:t>
            </w:r>
            <w:r>
              <w:rPr>
                <w:rFonts w:hint="eastAsia" w:ascii="宋体" w:hAnsi="宋体" w:cs="宋体"/>
                <w:kern w:val="0"/>
                <w:sz w:val="24"/>
                <w:szCs w:val="24"/>
                <w:lang w:val="en-US" w:eastAsia="zh-CN"/>
              </w:rPr>
              <w:t>4</w:t>
            </w:r>
            <w:r>
              <w:rPr>
                <w:rFonts w:hint="eastAsia" w:ascii="宋体" w:hAnsi="宋体" w:eastAsia="宋体" w:cs="宋体"/>
                <w:kern w:val="0"/>
                <w:sz w:val="24"/>
                <w:szCs w:val="24"/>
                <w:lang w:val="en-US" w:eastAsia="zh-CN"/>
              </w:rPr>
              <w:t>分，2A得</w:t>
            </w:r>
            <w:r>
              <w:rPr>
                <w:rFonts w:hint="eastAsia" w:ascii="宋体" w:hAnsi="宋体" w:cs="宋体"/>
                <w:kern w:val="0"/>
                <w:sz w:val="24"/>
                <w:szCs w:val="24"/>
                <w:lang w:val="en-US" w:eastAsia="zh-CN"/>
              </w:rPr>
              <w:t>2</w:t>
            </w:r>
            <w:r>
              <w:rPr>
                <w:rFonts w:hint="eastAsia" w:ascii="宋体" w:hAnsi="宋体" w:eastAsia="宋体" w:cs="宋体"/>
                <w:kern w:val="0"/>
                <w:sz w:val="24"/>
                <w:szCs w:val="24"/>
                <w:lang w:val="en-US" w:eastAsia="zh-CN"/>
              </w:rPr>
              <w:t>分；其他不得分；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b/>
                <w:bCs/>
                <w:kern w:val="0"/>
                <w:sz w:val="24"/>
                <w:szCs w:val="24"/>
                <w:lang w:val="en-US" w:eastAsia="zh-CN"/>
              </w:rPr>
              <w:t>注：提供原件复印件加盖公章，不提供不得分。</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358"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工作内容承诺</w:t>
            </w:r>
          </w:p>
        </w:tc>
        <w:tc>
          <w:tcPr>
            <w:tcW w:w="7128" w:type="dxa"/>
            <w:vAlign w:val="center"/>
          </w:tcPr>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投标人承诺以下工作内容的每一个得5分</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日常财务结报。包括单据报销、政府采购申报与备案、会计核算、税务申报等工作。</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报表报送。包括政府财务报告、资产报告、项目绩效自评，内部控制报告决算报表等报送工作。</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预算编制。包括年度预算编制、调整、追加。</w:t>
            </w:r>
          </w:p>
          <w:p>
            <w:pPr>
              <w:keepNext w:val="0"/>
              <w:keepLines w:val="0"/>
              <w:pageBreakBefore w:val="0"/>
              <w:widowControl/>
              <w:numPr>
                <w:ilvl w:val="0"/>
                <w:numId w:val="11"/>
              </w:numPr>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cs="宋体"/>
                <w:kern w:val="0"/>
                <w:sz w:val="24"/>
                <w:szCs w:val="24"/>
                <w:lang w:val="en-US" w:eastAsia="zh-CN"/>
              </w:rPr>
            </w:pPr>
            <w:r>
              <w:rPr>
                <w:rFonts w:hint="eastAsia" w:ascii="宋体" w:hAnsi="宋体" w:eastAsia="宋体" w:cs="宋体"/>
                <w:kern w:val="0"/>
                <w:sz w:val="24"/>
                <w:szCs w:val="24"/>
                <w:lang w:val="en-US" w:eastAsia="zh-CN"/>
              </w:rPr>
              <w:t>档案管理。会计档案装订和保管会计档案工作</w:t>
            </w:r>
            <w:r>
              <w:rPr>
                <w:rFonts w:hint="eastAsia" w:ascii="宋体" w:hAnsi="宋体" w:cs="宋体"/>
                <w:kern w:val="0"/>
                <w:sz w:val="24"/>
                <w:szCs w:val="24"/>
                <w:lang w:val="en-US"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Chars="0" w:right="0" w:rightChars="0"/>
              <w:jc w:val="left"/>
              <w:textAlignment w:val="auto"/>
              <w:outlineLvl w:val="9"/>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5.财务账户变更等其他财务工作。</w:t>
            </w:r>
          </w:p>
        </w:tc>
        <w:tc>
          <w:tcPr>
            <w:tcW w:w="769" w:type="dxa"/>
            <w:vAlign w:val="center"/>
          </w:tcPr>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default" w:ascii="宋体" w:hAnsi="宋体" w:eastAsia="宋体" w:cs="宋体"/>
                <w:kern w:val="0"/>
                <w:sz w:val="24"/>
                <w:szCs w:val="24"/>
                <w:lang w:val="en-US" w:eastAsia="zh-CN"/>
              </w:rPr>
            </w:pPr>
            <w:r>
              <w:rPr>
                <w:rFonts w:hint="eastAsia" w:ascii="宋体" w:hAnsi="宋体" w:cs="宋体"/>
                <w:kern w:val="0"/>
                <w:sz w:val="24"/>
                <w:szCs w:val="24"/>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9" w:hRule="atLeast"/>
        </w:trPr>
        <w:tc>
          <w:tcPr>
            <w:tcW w:w="1358" w:type="dxa"/>
            <w:vAlign w:val="center"/>
          </w:tcPr>
          <w:p>
            <w:pPr>
              <w:jc w:val="center"/>
              <w:rPr>
                <w:rFonts w:hint="eastAsia" w:ascii="宋体" w:hAnsi="宋体" w:cs="宋体"/>
                <w:color w:val="auto"/>
                <w:kern w:val="0"/>
                <w:sz w:val="24"/>
                <w:lang w:bidi="ar"/>
              </w:rPr>
            </w:pPr>
            <w:r>
              <w:rPr>
                <w:rFonts w:hint="eastAsia" w:ascii="宋体" w:hAnsi="宋体"/>
                <w:color w:val="auto"/>
                <w:kern w:val="0"/>
                <w:sz w:val="24"/>
              </w:rPr>
              <w:t>人员配置</w:t>
            </w:r>
          </w:p>
        </w:tc>
        <w:tc>
          <w:tcPr>
            <w:tcW w:w="7128" w:type="dxa"/>
            <w:vAlign w:val="center"/>
          </w:tcPr>
          <w:p>
            <w:pPr>
              <w:spacing w:line="360" w:lineRule="auto"/>
              <w:rPr>
                <w:rFonts w:hint="eastAsia" w:ascii="宋体" w:hAnsi="宋体" w:cs="宋体"/>
                <w:color w:val="auto"/>
                <w:sz w:val="24"/>
                <w:highlight w:val="none"/>
              </w:rPr>
            </w:pPr>
            <w:r>
              <w:rPr>
                <w:rFonts w:hint="eastAsia" w:ascii="宋体" w:hAnsi="宋体" w:cs="仿宋"/>
                <w:color w:val="auto"/>
                <w:kern w:val="0"/>
                <w:sz w:val="24"/>
              </w:rPr>
              <w:t>拟投入本项目技术人员分配方案合理性、稳定性、便于协调性和可操作性进行打分。</w:t>
            </w:r>
          </w:p>
        </w:tc>
        <w:tc>
          <w:tcPr>
            <w:tcW w:w="769" w:type="dxa"/>
            <w:vAlign w:val="center"/>
          </w:tcPr>
          <w:p>
            <w:pPr>
              <w:rPr>
                <w:rFonts w:hint="default" w:ascii="宋体" w:hAnsi="宋体" w:cs="宋体"/>
                <w:kern w:val="0"/>
                <w:sz w:val="24"/>
                <w:szCs w:val="24"/>
                <w:lang w:val="en-US" w:eastAsia="zh-CN"/>
              </w:rPr>
            </w:pPr>
            <w:r>
              <w:rPr>
                <w:rFonts w:hint="eastAsia" w:ascii="宋体" w:hAnsi="宋体" w:cs="宋体"/>
                <w:kern w:val="0"/>
                <w:sz w:val="24"/>
                <w:szCs w:val="24"/>
                <w:lang w:val="en-US" w:eastAsia="zh-CN"/>
              </w:rPr>
              <w:t xml:space="preserve"> 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358" w:type="dxa"/>
            <w:vAlign w:val="center"/>
          </w:tcPr>
          <w:p>
            <w:pPr>
              <w:pStyle w:val="21"/>
              <w:spacing w:line="360" w:lineRule="auto"/>
              <w:jc w:val="center"/>
              <w:rPr>
                <w:rFonts w:hint="eastAsia" w:ascii="宋体" w:hAnsi="宋体" w:eastAsia="宋体" w:cs="宋体"/>
                <w:kern w:val="0"/>
                <w:sz w:val="24"/>
                <w:szCs w:val="24"/>
                <w:lang w:val="en-US" w:eastAsia="zh-CN"/>
              </w:rPr>
            </w:pPr>
            <w:r>
              <w:rPr>
                <w:rFonts w:hint="eastAsia"/>
                <w:color w:val="auto"/>
                <w:sz w:val="24"/>
                <w:lang w:val="en-US" w:eastAsia="zh-CN"/>
              </w:rPr>
              <w:t>服务质量保证措施</w:t>
            </w:r>
          </w:p>
        </w:tc>
        <w:tc>
          <w:tcPr>
            <w:tcW w:w="7128" w:type="dxa"/>
            <w:vAlign w:val="center"/>
          </w:tcPr>
          <w:p>
            <w:pPr>
              <w:pStyle w:val="21"/>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宋体" w:hAnsi="宋体" w:eastAsia="宋体" w:cs="宋体"/>
                <w:kern w:val="0"/>
                <w:sz w:val="24"/>
                <w:szCs w:val="24"/>
                <w:lang w:val="en-US" w:eastAsia="zh-CN"/>
              </w:rPr>
            </w:pPr>
            <w:r>
              <w:rPr>
                <w:rFonts w:hint="eastAsia" w:cs="宋体"/>
                <w:color w:val="auto"/>
                <w:sz w:val="24"/>
                <w:lang w:val="zh-CN" w:eastAsia="zh-CN" w:bidi="ar-SA"/>
              </w:rPr>
              <w:t>为保证项目有序开展，以及工作顺利实施，投标文件中应提供服务的质量保证措施，评委根据质量保证措施的有效性、针对性等进行评分。</w:t>
            </w:r>
          </w:p>
        </w:tc>
        <w:tc>
          <w:tcPr>
            <w:tcW w:w="769" w:type="dxa"/>
            <w:vAlign w:val="center"/>
          </w:tcPr>
          <w:p>
            <w:pPr>
              <w:pStyle w:val="21"/>
              <w:spacing w:line="360" w:lineRule="auto"/>
              <w:jc w:val="center"/>
              <w:rPr>
                <w:rFonts w:hint="default" w:ascii="宋体" w:hAnsi="宋体" w:eastAsia="宋体" w:cs="宋体"/>
                <w:kern w:val="0"/>
                <w:sz w:val="24"/>
                <w:szCs w:val="24"/>
                <w:lang w:val="en-US" w:eastAsia="zh-CN"/>
              </w:rPr>
            </w:pPr>
            <w:r>
              <w:rPr>
                <w:rFonts w:hint="eastAsia" w:hAnsi="宋体" w:cs="宋体"/>
                <w:kern w:val="0"/>
                <w:sz w:val="24"/>
                <w:szCs w:val="24"/>
                <w:lang w:val="en-US" w:eastAsia="zh-CN"/>
              </w:rPr>
              <w:t>5</w:t>
            </w:r>
          </w:p>
        </w:tc>
      </w:tr>
    </w:tbl>
    <w:p>
      <w:pPr>
        <w:pStyle w:val="18"/>
        <w:spacing w:line="360" w:lineRule="auto"/>
        <w:ind w:left="0" w:leftChars="0"/>
        <w:jc w:val="left"/>
        <w:rPr>
          <w:rFonts w:hint="eastAsia"/>
          <w:b/>
          <w:bCs/>
          <w:iCs/>
          <w:sz w:val="24"/>
        </w:rPr>
      </w:pPr>
      <w:r>
        <w:rPr>
          <w:rFonts w:hint="eastAsia"/>
          <w:b/>
          <w:bCs/>
          <w:iCs/>
          <w:sz w:val="24"/>
        </w:rPr>
        <w:t>注：</w:t>
      </w:r>
    </w:p>
    <w:p>
      <w:pPr>
        <w:pStyle w:val="18"/>
        <w:spacing w:line="360" w:lineRule="auto"/>
        <w:ind w:left="0" w:leftChars="0"/>
        <w:jc w:val="left"/>
        <w:rPr>
          <w:rFonts w:hint="eastAsia" w:ascii="宋体" w:hAnsi="宋体" w:eastAsia="宋体" w:cs="宋体"/>
          <w:b/>
          <w:bCs/>
          <w:iCs/>
          <w:sz w:val="24"/>
        </w:rPr>
      </w:pPr>
      <w:r>
        <w:rPr>
          <w:rFonts w:hint="eastAsia" w:ascii="宋体" w:hAnsi="宋体" w:eastAsia="宋体" w:cs="宋体"/>
          <w:b/>
          <w:bCs/>
          <w:iCs/>
          <w:sz w:val="24"/>
        </w:rPr>
        <w:t>1.本项目招标文件内对开标现场原件核验不作要求，采购人有权在标后对中标候选人进行原件核验。投标人对所提供的全部资料的真实性承担法律责任，如标后无法提供投标文件中复印件的相应原件的：（1）采购人有权拒绝与中标方签订合同，并追究其缔约过失责任；（2）违法违规的报监管部门查处；构成犯罪的依法追究刑事责任。</w:t>
      </w:r>
    </w:p>
    <w:p>
      <w:pPr>
        <w:pStyle w:val="18"/>
        <w:spacing w:line="360" w:lineRule="auto"/>
        <w:ind w:left="0" w:leftChars="0"/>
        <w:jc w:val="left"/>
        <w:rPr>
          <w:rFonts w:hint="eastAsia" w:ascii="宋体" w:hAnsi="宋体"/>
          <w:b/>
          <w:sz w:val="36"/>
          <w:szCs w:val="36"/>
        </w:rPr>
      </w:pPr>
      <w:r>
        <w:rPr>
          <w:rFonts w:hint="eastAsia" w:ascii="宋体" w:hAnsi="宋体" w:eastAsia="宋体" w:cs="宋体"/>
          <w:b/>
          <w:bCs/>
          <w:iCs/>
          <w:sz w:val="24"/>
        </w:rPr>
        <w:t>2.所有证书都应在有效期内，逾期不得分。</w:t>
      </w:r>
      <w:r>
        <w:rPr>
          <w:rFonts w:hint="eastAsia" w:ascii="宋体" w:hAnsi="宋体"/>
          <w:b/>
          <w:sz w:val="36"/>
          <w:szCs w:val="36"/>
        </w:rPr>
        <w:t xml:space="preserve"> </w:t>
      </w:r>
    </w:p>
    <w:p>
      <w:pPr>
        <w:spacing w:line="360" w:lineRule="auto"/>
        <w:rPr>
          <w:rFonts w:hint="eastAsia" w:ascii="宋体" w:hAnsi="宋体"/>
          <w:b/>
          <w:bCs/>
          <w:iCs/>
          <w:sz w:val="24"/>
        </w:rPr>
      </w:pPr>
      <w:r>
        <w:rPr>
          <w:rFonts w:hint="eastAsia" w:ascii="宋体" w:hAnsi="宋体"/>
          <w:b/>
          <w:bCs/>
          <w:iCs/>
          <w:sz w:val="24"/>
        </w:rPr>
        <w:t>2.</w:t>
      </w:r>
      <w:r>
        <w:rPr>
          <w:rFonts w:hint="eastAsia" w:ascii="宋体" w:hAnsi="宋体"/>
          <w:b/>
          <w:bCs/>
          <w:iCs/>
          <w:sz w:val="24"/>
          <w:lang w:val="en-US" w:eastAsia="zh-CN"/>
        </w:rPr>
        <w:t>2</w:t>
      </w:r>
      <w:r>
        <w:rPr>
          <w:rFonts w:hint="eastAsia" w:ascii="宋体" w:hAnsi="宋体"/>
          <w:b/>
          <w:bCs/>
          <w:iCs/>
          <w:sz w:val="24"/>
        </w:rPr>
        <w:t>商务分</w:t>
      </w:r>
      <w:r>
        <w:rPr>
          <w:rFonts w:hint="eastAsia" w:ascii="宋体" w:hAnsi="宋体"/>
          <w:b/>
          <w:bCs/>
          <w:iCs/>
          <w:sz w:val="24"/>
          <w:lang w:val="en-US" w:eastAsia="zh-CN"/>
        </w:rPr>
        <w:t>40</w:t>
      </w:r>
      <w:r>
        <w:rPr>
          <w:rFonts w:hint="eastAsia" w:ascii="宋体" w:hAnsi="宋体"/>
          <w:b/>
          <w:bCs/>
          <w:iCs/>
          <w:sz w:val="24"/>
        </w:rPr>
        <w:t>分</w:t>
      </w:r>
    </w:p>
    <w:p>
      <w:pPr>
        <w:spacing w:line="360" w:lineRule="auto"/>
        <w:rPr>
          <w:rFonts w:hint="eastAsia" w:ascii="宋体" w:hAnsi="宋体"/>
          <w:bCs/>
          <w:iCs/>
          <w:sz w:val="24"/>
        </w:rPr>
      </w:pPr>
      <w:r>
        <w:rPr>
          <w:rFonts w:hint="eastAsia" w:ascii="宋体" w:hAnsi="宋体"/>
          <w:bCs/>
          <w:iCs/>
          <w:sz w:val="24"/>
        </w:rPr>
        <w:t>2.</w:t>
      </w:r>
      <w:r>
        <w:rPr>
          <w:rFonts w:hint="eastAsia" w:ascii="宋体" w:hAnsi="宋体"/>
          <w:bCs/>
          <w:iCs/>
          <w:sz w:val="24"/>
          <w:lang w:val="en-US" w:eastAsia="zh-CN"/>
        </w:rPr>
        <w:t>2.</w:t>
      </w:r>
      <w:r>
        <w:rPr>
          <w:rFonts w:hint="eastAsia" w:ascii="宋体" w:hAnsi="宋体"/>
          <w:bCs/>
          <w:iCs/>
          <w:sz w:val="24"/>
        </w:rPr>
        <w:t>1磋商基准价：即满足磋商文件要求且最后报价最低的</w:t>
      </w:r>
      <w:r>
        <w:rPr>
          <w:rFonts w:hint="eastAsia" w:ascii="宋体" w:hAnsi="宋体"/>
          <w:bCs/>
          <w:iCs/>
          <w:sz w:val="24"/>
          <w:lang w:eastAsia="zh-CN"/>
        </w:rPr>
        <w:t>投标单位</w:t>
      </w:r>
      <w:r>
        <w:rPr>
          <w:rFonts w:hint="eastAsia" w:ascii="宋体" w:hAnsi="宋体"/>
          <w:bCs/>
          <w:iCs/>
          <w:sz w:val="24"/>
        </w:rPr>
        <w:t>的价格为磋商基准价，其价格分为满分。</w:t>
      </w:r>
    </w:p>
    <w:p>
      <w:pPr>
        <w:spacing w:line="360" w:lineRule="auto"/>
        <w:rPr>
          <w:rFonts w:hint="eastAsia" w:ascii="宋体" w:hAnsi="宋体"/>
          <w:bCs/>
          <w:iCs/>
          <w:sz w:val="24"/>
        </w:rPr>
      </w:pPr>
      <w:r>
        <w:rPr>
          <w:rFonts w:hint="eastAsia" w:ascii="宋体" w:hAnsi="宋体"/>
          <w:bCs/>
          <w:iCs/>
          <w:sz w:val="24"/>
        </w:rPr>
        <w:t>2.</w:t>
      </w:r>
      <w:r>
        <w:rPr>
          <w:rFonts w:hint="eastAsia" w:ascii="宋体" w:hAnsi="宋体"/>
          <w:bCs/>
          <w:iCs/>
          <w:sz w:val="24"/>
          <w:lang w:val="en-US" w:eastAsia="zh-CN"/>
        </w:rPr>
        <w:t>2</w:t>
      </w:r>
      <w:r>
        <w:rPr>
          <w:rFonts w:hint="eastAsia" w:ascii="宋体" w:hAnsi="宋体"/>
          <w:bCs/>
          <w:iCs/>
          <w:sz w:val="24"/>
        </w:rPr>
        <w:t>.2其他</w:t>
      </w:r>
      <w:r>
        <w:rPr>
          <w:rFonts w:hint="eastAsia" w:ascii="宋体" w:hAnsi="宋体"/>
          <w:bCs/>
          <w:iCs/>
          <w:sz w:val="24"/>
          <w:lang w:eastAsia="zh-CN"/>
        </w:rPr>
        <w:t>投标单位</w:t>
      </w:r>
      <w:r>
        <w:rPr>
          <w:rFonts w:hint="eastAsia" w:ascii="宋体" w:hAnsi="宋体"/>
          <w:bCs/>
          <w:iCs/>
          <w:sz w:val="24"/>
        </w:rPr>
        <w:t>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hint="eastAsia" w:ascii="宋体" w:hAnsi="宋体"/>
          <w:bCs/>
          <w:iCs/>
          <w:sz w:val="24"/>
        </w:rPr>
      </w:pPr>
      <w:r>
        <w:rPr>
          <w:rFonts w:hint="eastAsia" w:ascii="宋体" w:hAnsi="宋体"/>
          <w:bCs/>
          <w:iCs/>
          <w:sz w:val="24"/>
        </w:rPr>
        <w:t>磋商报价得分=(磋商基准价／最后磋商报价)×价格权值×100</w:t>
      </w:r>
    </w:p>
    <w:p>
      <w:pPr>
        <w:pStyle w:val="18"/>
        <w:spacing w:line="360" w:lineRule="auto"/>
        <w:ind w:left="0" w:leftChars="0" w:firstLine="1446" w:firstLineChars="400"/>
        <w:jc w:val="both"/>
        <w:rPr>
          <w:rFonts w:hint="eastAsia" w:ascii="宋体" w:hAnsi="宋体"/>
          <w:b/>
          <w:sz w:val="36"/>
          <w:szCs w:val="36"/>
        </w:rPr>
      </w:pPr>
    </w:p>
    <w:p>
      <w:pPr>
        <w:pStyle w:val="18"/>
        <w:spacing w:line="360" w:lineRule="auto"/>
        <w:ind w:left="0" w:leftChars="0" w:firstLine="1446" w:firstLineChars="400"/>
        <w:jc w:val="both"/>
        <w:rPr>
          <w:rFonts w:hint="eastAsia" w:ascii="宋体" w:hAnsi="宋体"/>
          <w:b/>
          <w:sz w:val="36"/>
          <w:szCs w:val="36"/>
        </w:rPr>
      </w:pPr>
    </w:p>
    <w:p>
      <w:pPr>
        <w:pStyle w:val="18"/>
        <w:spacing w:line="360" w:lineRule="auto"/>
        <w:ind w:left="0" w:leftChars="0" w:firstLine="1446" w:firstLineChars="400"/>
        <w:jc w:val="both"/>
        <w:rPr>
          <w:rFonts w:hint="eastAsia" w:ascii="宋体" w:hAnsi="宋体"/>
          <w:b/>
          <w:sz w:val="36"/>
          <w:szCs w:val="36"/>
        </w:rPr>
      </w:pPr>
      <w:r>
        <w:rPr>
          <w:rFonts w:hint="eastAsia" w:ascii="宋体" w:hAnsi="宋体"/>
          <w:b/>
          <w:sz w:val="36"/>
          <w:szCs w:val="36"/>
        </w:rPr>
        <w:t>第六部分 磋商响应文件及其附件格式</w:t>
      </w:r>
      <w:bookmarkEnd w:id="8"/>
      <w:bookmarkEnd w:id="9"/>
      <w:bookmarkEnd w:id="10"/>
      <w:bookmarkEnd w:id="11"/>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附件1：磋商响应函（格式）</w:t>
      </w:r>
    </w:p>
    <w:p>
      <w:pPr>
        <w:pStyle w:val="66"/>
        <w:spacing w:after="0" w:afterLines="0" w:line="360" w:lineRule="auto"/>
        <w:ind w:firstLine="0" w:firstLineChars="0"/>
        <w:rPr>
          <w:rFonts w:hint="eastAsia" w:ascii="宋体" w:hAnsi="宋体"/>
          <w:szCs w:val="24"/>
        </w:rPr>
      </w:pPr>
      <w:r>
        <w:rPr>
          <w:rFonts w:hint="eastAsia" w:ascii="宋体" w:hAnsi="宋体"/>
          <w:szCs w:val="24"/>
        </w:rPr>
        <w:t>致：（招标单位）</w:t>
      </w:r>
      <w:r>
        <w:rPr>
          <w:rFonts w:hint="eastAsia" w:ascii="宋体" w:hAnsi="宋体"/>
          <w:szCs w:val="24"/>
          <w:u w:val="single"/>
          <w:lang w:eastAsia="zh-CN"/>
        </w:rPr>
        <w:t>绍兴市发展和改革委员会</w:t>
      </w:r>
    </w:p>
    <w:p>
      <w:pPr>
        <w:pStyle w:val="66"/>
        <w:spacing w:after="0" w:afterLines="0" w:line="360" w:lineRule="auto"/>
        <w:ind w:firstLine="480"/>
        <w:jc w:val="left"/>
        <w:rPr>
          <w:rFonts w:hint="eastAsia" w:ascii="宋体" w:hAnsi="宋体"/>
          <w:szCs w:val="24"/>
        </w:rPr>
      </w:pPr>
      <w:r>
        <w:rPr>
          <w:rFonts w:hint="eastAsia" w:ascii="宋体" w:hAnsi="宋体"/>
          <w:szCs w:val="24"/>
        </w:rPr>
        <w:t>根据贵方</w:t>
      </w:r>
      <w:r>
        <w:rPr>
          <w:rFonts w:hint="eastAsia" w:ascii="宋体" w:hAnsi="宋体"/>
          <w:szCs w:val="24"/>
          <w:u w:val="single"/>
          <w:lang w:eastAsia="zh-CN"/>
        </w:rPr>
        <w:t>泰宇建筑工程技术咨询有限公司绍兴分公司</w:t>
      </w:r>
      <w:r>
        <w:rPr>
          <w:rFonts w:hint="eastAsia" w:ascii="宋体" w:hAnsi="宋体"/>
          <w:color w:val="auto"/>
          <w:szCs w:val="24"/>
        </w:rPr>
        <w:t>磋商文件编号：</w:t>
      </w:r>
      <w:r>
        <w:rPr>
          <w:rFonts w:hint="eastAsia" w:ascii="宋体" w:hAnsi="宋体"/>
          <w:color w:val="1F497D" w:themeColor="text2"/>
          <w:szCs w:val="24"/>
          <w:u w:val="single"/>
          <w14:textFill>
            <w14:solidFill>
              <w14:schemeClr w14:val="tx2"/>
            </w14:solidFill>
          </w14:textFill>
        </w:rPr>
        <w:t xml:space="preserve">  </w:t>
      </w:r>
      <w:r>
        <w:rPr>
          <w:rFonts w:hint="eastAsia" w:ascii="宋体" w:hAnsi="宋体"/>
          <w:szCs w:val="24"/>
          <w:u w:val="single"/>
        </w:rPr>
        <w:t xml:space="preserve">     </w:t>
      </w:r>
      <w:r>
        <w:rPr>
          <w:rFonts w:hint="eastAsia" w:ascii="宋体" w:hAnsi="宋体"/>
          <w:szCs w:val="24"/>
        </w:rPr>
        <w:t>）磋商文件的要求，正式授权下述签字人</w:t>
      </w:r>
      <w:r>
        <w:rPr>
          <w:rFonts w:hint="eastAsia" w:ascii="宋体" w:hAnsi="宋体"/>
          <w:szCs w:val="24"/>
          <w:u w:val="single"/>
        </w:rPr>
        <w:t xml:space="preserve">                         </w:t>
      </w:r>
      <w:r>
        <w:rPr>
          <w:rFonts w:hint="eastAsia" w:ascii="宋体" w:hAnsi="宋体"/>
          <w:szCs w:val="24"/>
        </w:rPr>
        <w:t>（姓名、单位、职务）代表</w:t>
      </w:r>
      <w:r>
        <w:rPr>
          <w:rFonts w:hint="eastAsia" w:ascii="宋体" w:hAnsi="宋体"/>
          <w:szCs w:val="24"/>
          <w:lang w:eastAsia="zh-CN"/>
        </w:rPr>
        <w:t>投标单位</w:t>
      </w:r>
      <w:r>
        <w:rPr>
          <w:rFonts w:hint="eastAsia" w:ascii="宋体" w:hAnsi="宋体"/>
          <w:szCs w:val="24"/>
          <w:u w:val="single"/>
        </w:rPr>
        <w:t xml:space="preserve">                     </w:t>
      </w:r>
      <w:r>
        <w:rPr>
          <w:rFonts w:hint="eastAsia" w:ascii="宋体" w:hAnsi="宋体"/>
          <w:szCs w:val="24"/>
        </w:rPr>
        <w:t>（单位、地址）提交以下文件正本一份、副本二份。</w:t>
      </w:r>
    </w:p>
    <w:p>
      <w:pPr>
        <w:pStyle w:val="66"/>
        <w:spacing w:after="0" w:afterLines="0" w:line="360" w:lineRule="auto"/>
        <w:ind w:firstLine="480"/>
        <w:rPr>
          <w:rFonts w:hint="eastAsia" w:ascii="宋体" w:hAnsi="宋体"/>
          <w:szCs w:val="24"/>
        </w:rPr>
      </w:pPr>
      <w:r>
        <w:rPr>
          <w:rFonts w:hint="eastAsia" w:ascii="宋体" w:hAnsi="宋体"/>
          <w:szCs w:val="24"/>
        </w:rPr>
        <w:t>我方已完全明白磋商文件的所有条款要求，兹宣布同意如下：</w:t>
      </w:r>
    </w:p>
    <w:p>
      <w:pPr>
        <w:pStyle w:val="12"/>
        <w:tabs>
          <w:tab w:val="clear" w:pos="1697"/>
        </w:tabs>
        <w:spacing w:after="0" w:afterLines="0" w:line="360" w:lineRule="auto"/>
        <w:ind w:left="0" w:firstLine="480" w:firstLineChars="200"/>
        <w:rPr>
          <w:rFonts w:hint="eastAsia" w:ascii="宋体" w:hAnsi="宋体"/>
          <w:szCs w:val="24"/>
        </w:rPr>
      </w:pPr>
      <w:r>
        <w:rPr>
          <w:rFonts w:hint="eastAsia" w:ascii="宋体" w:hAnsi="宋体"/>
          <w:szCs w:val="24"/>
        </w:rPr>
        <w:t>1、根据磋商文件的规定，承诺按标书和合同的规定执行责任和义务。</w:t>
      </w:r>
    </w:p>
    <w:p>
      <w:pPr>
        <w:pStyle w:val="66"/>
        <w:spacing w:after="0" w:afterLines="0" w:line="360" w:lineRule="auto"/>
        <w:ind w:firstLine="480"/>
        <w:rPr>
          <w:rFonts w:hint="eastAsia" w:ascii="宋体" w:hAnsi="宋体"/>
          <w:szCs w:val="24"/>
        </w:rPr>
      </w:pPr>
      <w:r>
        <w:rPr>
          <w:rFonts w:hint="eastAsia" w:ascii="宋体" w:hAnsi="宋体"/>
          <w:szCs w:val="24"/>
        </w:rPr>
        <w:t>2、我单位经研究本项目磋商文件、磋商文件补充、修改通知、磋商答疑纪要等所有内容后，决定参加本项目磋商。</w:t>
      </w:r>
    </w:p>
    <w:p>
      <w:pPr>
        <w:pStyle w:val="66"/>
        <w:spacing w:after="0" w:afterLines="0" w:line="360" w:lineRule="auto"/>
        <w:ind w:firstLine="480"/>
        <w:rPr>
          <w:rFonts w:hint="eastAsia" w:ascii="宋体" w:hAnsi="宋体"/>
          <w:szCs w:val="24"/>
        </w:rPr>
      </w:pPr>
      <w:r>
        <w:rPr>
          <w:rFonts w:hint="eastAsia" w:ascii="宋体" w:hAnsi="宋体"/>
          <w:szCs w:val="24"/>
        </w:rPr>
        <w:t>3、我方已详细审核全部磋商文件，包括修改文件（如果有的话）及有关附件，我方完全知道必须放弃提出含糊不清或误解而对磋商文件提出质疑的权力。</w:t>
      </w:r>
    </w:p>
    <w:p>
      <w:pPr>
        <w:pStyle w:val="66"/>
        <w:spacing w:after="0" w:afterLines="0" w:line="360" w:lineRule="auto"/>
        <w:ind w:firstLine="480"/>
        <w:rPr>
          <w:rFonts w:hint="eastAsia" w:ascii="宋体" w:hAnsi="宋体"/>
          <w:szCs w:val="24"/>
        </w:rPr>
      </w:pPr>
      <w:r>
        <w:rPr>
          <w:rFonts w:hint="eastAsia" w:ascii="宋体" w:hAnsi="宋体"/>
          <w:szCs w:val="24"/>
          <w:lang w:val="en-US" w:eastAsia="zh-CN"/>
        </w:rPr>
        <w:t>4</w:t>
      </w:r>
      <w:r>
        <w:rPr>
          <w:rFonts w:hint="eastAsia" w:ascii="宋体" w:hAnsi="宋体"/>
          <w:szCs w:val="24"/>
        </w:rPr>
        <w:t>、同意向</w:t>
      </w:r>
      <w:r>
        <w:rPr>
          <w:rFonts w:hint="eastAsia" w:ascii="宋体" w:hAnsi="宋体" w:cs="Arial"/>
          <w:lang w:eastAsia="zh-CN"/>
        </w:rPr>
        <w:t>绍兴市发展和改革委员会</w:t>
      </w:r>
      <w:r>
        <w:rPr>
          <w:rFonts w:hint="eastAsia" w:ascii="宋体" w:hAnsi="宋体"/>
          <w:szCs w:val="24"/>
        </w:rPr>
        <w:t>提供可能另外要求的与磋商有关的任何数据或资料；</w:t>
      </w:r>
    </w:p>
    <w:p>
      <w:pPr>
        <w:pStyle w:val="66"/>
        <w:spacing w:after="0" w:afterLines="0" w:line="360" w:lineRule="auto"/>
        <w:ind w:firstLine="480"/>
        <w:rPr>
          <w:rFonts w:hint="eastAsia" w:ascii="宋体" w:hAnsi="宋体"/>
          <w:szCs w:val="24"/>
        </w:rPr>
      </w:pPr>
      <w:r>
        <w:rPr>
          <w:rFonts w:hint="eastAsia" w:ascii="宋体" w:hAnsi="宋体"/>
          <w:szCs w:val="24"/>
          <w:lang w:val="en-US" w:eastAsia="zh-CN"/>
        </w:rPr>
        <w:t>5</w:t>
      </w:r>
      <w:r>
        <w:rPr>
          <w:rFonts w:hint="eastAsia" w:ascii="宋体" w:hAnsi="宋体"/>
          <w:szCs w:val="24"/>
        </w:rPr>
        <w:t>、我单位保证所</w:t>
      </w:r>
      <w:r>
        <w:rPr>
          <w:rFonts w:hint="eastAsia" w:ascii="宋体" w:hAnsi="宋体"/>
          <w:szCs w:val="24"/>
          <w:lang w:eastAsia="zh-CN"/>
        </w:rPr>
        <w:t>提供的服务质</w:t>
      </w:r>
      <w:r>
        <w:rPr>
          <w:rFonts w:hint="eastAsia" w:ascii="宋体" w:hAnsi="宋体"/>
          <w:szCs w:val="24"/>
        </w:rPr>
        <w:t>量符合国家强制性规范和标准，达到磋商文件规定的要求；</w:t>
      </w:r>
    </w:p>
    <w:p>
      <w:pPr>
        <w:pStyle w:val="12"/>
        <w:tabs>
          <w:tab w:val="clear" w:pos="1697"/>
        </w:tabs>
        <w:spacing w:after="0" w:afterLines="0" w:line="360" w:lineRule="auto"/>
        <w:ind w:left="0" w:firstLine="480" w:firstLineChars="200"/>
        <w:rPr>
          <w:rFonts w:hint="eastAsia" w:ascii="宋体" w:hAnsi="宋体"/>
          <w:szCs w:val="24"/>
        </w:rPr>
      </w:pPr>
      <w:r>
        <w:rPr>
          <w:rFonts w:hint="eastAsia" w:ascii="宋体" w:hAnsi="宋体"/>
          <w:lang w:val="en-US" w:eastAsia="zh-CN"/>
        </w:rPr>
        <w:t>6</w:t>
      </w:r>
      <w:r>
        <w:rPr>
          <w:rFonts w:hint="eastAsia" w:ascii="宋体" w:hAnsi="宋体"/>
        </w:rPr>
        <w:t>、</w:t>
      </w:r>
      <w:r>
        <w:rPr>
          <w:rFonts w:hint="eastAsia" w:ascii="宋体" w:hAnsi="宋体"/>
          <w:szCs w:val="24"/>
        </w:rPr>
        <w:t>本磋商响应自磋商开始之日（磋商响应截止之日）起45天内有效，如中标，有效期将延至合同终止日为止。</w:t>
      </w:r>
    </w:p>
    <w:p>
      <w:pPr>
        <w:pStyle w:val="66"/>
        <w:spacing w:after="0" w:afterLines="0" w:line="360" w:lineRule="auto"/>
        <w:ind w:firstLine="480"/>
        <w:rPr>
          <w:rFonts w:hint="eastAsia" w:ascii="宋体" w:hAnsi="宋体"/>
          <w:szCs w:val="24"/>
        </w:rPr>
      </w:pPr>
      <w:r>
        <w:rPr>
          <w:rFonts w:hint="eastAsia" w:ascii="宋体" w:hAnsi="宋体"/>
          <w:szCs w:val="24"/>
          <w:lang w:val="en-US" w:eastAsia="zh-CN"/>
        </w:rPr>
        <w:t>7</w:t>
      </w:r>
      <w:r>
        <w:rPr>
          <w:rFonts w:hint="eastAsia" w:ascii="宋体" w:hAnsi="宋体"/>
          <w:szCs w:val="24"/>
        </w:rPr>
        <w:t>．我方承诺完全遵守和满足磋商文件</w:t>
      </w:r>
      <w:r>
        <w:rPr>
          <w:rFonts w:hint="eastAsia" w:ascii="宋体" w:hAnsi="宋体"/>
          <w:szCs w:val="24"/>
          <w:lang w:eastAsia="zh-CN"/>
        </w:rPr>
        <w:t>服务</w:t>
      </w:r>
      <w:r>
        <w:rPr>
          <w:rFonts w:hint="eastAsia" w:ascii="宋体" w:hAnsi="宋体"/>
          <w:szCs w:val="24"/>
        </w:rPr>
        <w:t>日期的要求。</w:t>
      </w:r>
    </w:p>
    <w:p>
      <w:pPr>
        <w:pStyle w:val="66"/>
        <w:spacing w:after="0" w:afterLines="0" w:line="360" w:lineRule="auto"/>
        <w:ind w:firstLine="480"/>
        <w:rPr>
          <w:rFonts w:hint="eastAsia" w:ascii="宋体" w:hAnsi="宋体"/>
          <w:szCs w:val="24"/>
        </w:rPr>
      </w:pPr>
      <w:r>
        <w:rPr>
          <w:rFonts w:hint="eastAsia" w:ascii="宋体" w:hAnsi="宋体"/>
          <w:szCs w:val="24"/>
          <w:lang w:val="en-US" w:eastAsia="zh-CN"/>
        </w:rPr>
        <w:t>8</w:t>
      </w:r>
      <w:r>
        <w:rPr>
          <w:rFonts w:hint="eastAsia" w:ascii="宋体" w:hAnsi="宋体"/>
          <w:szCs w:val="24"/>
        </w:rPr>
        <w:t>、</w:t>
      </w:r>
      <w:r>
        <w:rPr>
          <w:rFonts w:ascii="宋体" w:hAnsi="宋体"/>
          <w:szCs w:val="24"/>
        </w:rPr>
        <w:t>……</w:t>
      </w:r>
    </w:p>
    <w:p>
      <w:pPr>
        <w:pStyle w:val="66"/>
        <w:spacing w:after="0" w:afterLines="0" w:line="360" w:lineRule="auto"/>
        <w:ind w:firstLine="480"/>
        <w:rPr>
          <w:rFonts w:hint="eastAsia" w:ascii="宋体" w:hAnsi="宋体"/>
          <w:szCs w:val="24"/>
        </w:rPr>
      </w:pPr>
    </w:p>
    <w:p>
      <w:pPr>
        <w:pStyle w:val="66"/>
        <w:spacing w:after="0" w:afterLines="0" w:line="360" w:lineRule="auto"/>
        <w:ind w:firstLine="480"/>
        <w:rPr>
          <w:rFonts w:hint="eastAsia" w:ascii="宋体" w:hAnsi="宋体"/>
          <w:szCs w:val="24"/>
        </w:rPr>
      </w:pPr>
    </w:p>
    <w:p>
      <w:pPr>
        <w:pStyle w:val="66"/>
        <w:spacing w:after="0" w:afterLines="0" w:line="360" w:lineRule="auto"/>
        <w:ind w:firstLine="480"/>
        <w:rPr>
          <w:rFonts w:hint="eastAsia" w:ascii="宋体" w:hAnsi="宋体"/>
          <w:szCs w:val="24"/>
        </w:rPr>
      </w:pPr>
      <w:r>
        <w:rPr>
          <w:rFonts w:hint="eastAsia" w:ascii="宋体" w:hAnsi="宋体"/>
          <w:szCs w:val="24"/>
        </w:rPr>
        <w:t>法定代表人或其授权代表(签字或签章)：</w:t>
      </w:r>
    </w:p>
    <w:p>
      <w:pPr>
        <w:pStyle w:val="66"/>
        <w:spacing w:after="0" w:afterLines="0" w:line="360" w:lineRule="auto"/>
        <w:ind w:firstLine="480"/>
        <w:rPr>
          <w:rFonts w:hint="eastAsia" w:ascii="宋体" w:hAnsi="宋体"/>
          <w:szCs w:val="24"/>
        </w:rPr>
      </w:pPr>
      <w:r>
        <w:rPr>
          <w:rFonts w:hint="eastAsia" w:ascii="宋体" w:hAnsi="宋体"/>
          <w:sz w:val="24"/>
          <w:lang w:eastAsia="zh-CN"/>
        </w:rPr>
        <w:t>投标单位</w:t>
      </w:r>
      <w:r>
        <w:rPr>
          <w:rFonts w:hint="eastAsia" w:ascii="宋体" w:hAnsi="宋体"/>
          <w:sz w:val="24"/>
        </w:rPr>
        <w:t>名称</w:t>
      </w:r>
      <w:r>
        <w:rPr>
          <w:rFonts w:hint="eastAsia" w:ascii="宋体" w:hAnsi="宋体"/>
          <w:szCs w:val="24"/>
        </w:rPr>
        <w:t xml:space="preserve">(盖章)：　　　　　　　　　　　　　　　　　　　　日期：     </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附件2：报价一览表（格式）</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snapToGrid w:val="0"/>
        <w:spacing w:line="360" w:lineRule="auto"/>
        <w:rPr>
          <w:rFonts w:hint="eastAsia" w:ascii="宋体" w:hAnsi="宋体"/>
          <w:sz w:val="24"/>
          <w:u w:val="single"/>
        </w:rPr>
      </w:pPr>
      <w:r>
        <w:rPr>
          <w:rFonts w:hint="eastAsia" w:ascii="宋体" w:hAnsi="宋体"/>
          <w:sz w:val="24"/>
        </w:rPr>
        <w:t>磋商编号：</w:t>
      </w:r>
      <w:r>
        <w:rPr>
          <w:rFonts w:hint="eastAsia" w:ascii="宋体" w:hAnsi="宋体"/>
          <w:sz w:val="24"/>
          <w:u w:val="single"/>
        </w:rPr>
        <w:t xml:space="preserve">                                      </w:t>
      </w:r>
    </w:p>
    <w:p>
      <w:pPr>
        <w:spacing w:line="360" w:lineRule="auto"/>
        <w:jc w:val="left"/>
        <w:rPr>
          <w:rFonts w:hint="eastAsia" w:ascii="宋体" w:hAnsi="宋体"/>
          <w:sz w:val="24"/>
        </w:rPr>
      </w:pPr>
      <w:r>
        <w:rPr>
          <w:rFonts w:hint="eastAsia" w:ascii="宋体" w:hAnsi="宋体"/>
          <w:sz w:val="24"/>
        </w:rPr>
        <w:t xml:space="preserve">                                                            单位：元</w:t>
      </w:r>
    </w:p>
    <w:tbl>
      <w:tblPr>
        <w:tblStyle w:val="40"/>
        <w:tblW w:w="9498" w:type="dxa"/>
        <w:tblInd w:w="-31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89"/>
        <w:gridCol w:w="2172"/>
        <w:gridCol w:w="1701"/>
        <w:gridCol w:w="2410"/>
        <w:gridCol w:w="2126"/>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1089" w:type="dxa"/>
            <w:vAlign w:val="center"/>
          </w:tcPr>
          <w:p>
            <w:pPr>
              <w:adjustRightInd w:val="0"/>
              <w:snapToGrid w:val="0"/>
              <w:ind w:right="172" w:rightChars="82"/>
              <w:jc w:val="center"/>
              <w:rPr>
                <w:rFonts w:hint="eastAsia" w:hAnsi="宋体"/>
                <w:spacing w:val="20"/>
                <w:sz w:val="24"/>
              </w:rPr>
            </w:pPr>
            <w:r>
              <w:rPr>
                <w:rFonts w:hint="eastAsia" w:hAnsi="宋体"/>
                <w:spacing w:val="20"/>
                <w:sz w:val="24"/>
              </w:rPr>
              <w:t>序号</w:t>
            </w:r>
          </w:p>
        </w:tc>
        <w:tc>
          <w:tcPr>
            <w:tcW w:w="2172" w:type="dxa"/>
            <w:vAlign w:val="center"/>
          </w:tcPr>
          <w:p>
            <w:pPr>
              <w:adjustRightInd w:val="0"/>
              <w:snapToGrid w:val="0"/>
              <w:ind w:right="172" w:rightChars="82"/>
              <w:jc w:val="center"/>
              <w:rPr>
                <w:rFonts w:hint="eastAsia" w:hAnsi="宋体"/>
                <w:spacing w:val="20"/>
                <w:sz w:val="24"/>
              </w:rPr>
            </w:pPr>
            <w:r>
              <w:rPr>
                <w:rFonts w:hint="eastAsia" w:hAnsi="宋体"/>
                <w:spacing w:val="20"/>
                <w:sz w:val="24"/>
              </w:rPr>
              <w:t>项目名称</w:t>
            </w:r>
          </w:p>
        </w:tc>
        <w:tc>
          <w:tcPr>
            <w:tcW w:w="1701" w:type="dxa"/>
            <w:vAlign w:val="center"/>
          </w:tcPr>
          <w:p>
            <w:pPr>
              <w:adjustRightInd w:val="0"/>
              <w:snapToGrid w:val="0"/>
              <w:ind w:right="172" w:rightChars="82"/>
              <w:jc w:val="center"/>
              <w:rPr>
                <w:rFonts w:hint="eastAsia" w:hAnsi="宋体"/>
                <w:spacing w:val="20"/>
                <w:sz w:val="24"/>
              </w:rPr>
            </w:pPr>
            <w:r>
              <w:rPr>
                <w:rFonts w:hint="eastAsia" w:hAnsi="宋体"/>
                <w:spacing w:val="20"/>
                <w:sz w:val="24"/>
              </w:rPr>
              <w:t>金额</w:t>
            </w:r>
          </w:p>
        </w:tc>
        <w:tc>
          <w:tcPr>
            <w:tcW w:w="2410" w:type="dxa"/>
            <w:vAlign w:val="center"/>
          </w:tcPr>
          <w:p>
            <w:pPr>
              <w:adjustRightInd w:val="0"/>
              <w:snapToGrid w:val="0"/>
              <w:ind w:right="172" w:rightChars="82"/>
              <w:jc w:val="center"/>
              <w:rPr>
                <w:rFonts w:hint="eastAsia" w:hAnsi="宋体"/>
                <w:spacing w:val="20"/>
                <w:sz w:val="24"/>
              </w:rPr>
            </w:pPr>
            <w:r>
              <w:rPr>
                <w:rFonts w:hint="eastAsia" w:hAnsi="宋体"/>
                <w:spacing w:val="20"/>
                <w:sz w:val="24"/>
              </w:rPr>
              <w:t>服务期限</w:t>
            </w:r>
          </w:p>
        </w:tc>
        <w:tc>
          <w:tcPr>
            <w:tcW w:w="2126" w:type="dxa"/>
            <w:vAlign w:val="center"/>
          </w:tcPr>
          <w:p>
            <w:pPr>
              <w:adjustRightInd w:val="0"/>
              <w:snapToGrid w:val="0"/>
              <w:ind w:right="172" w:rightChars="82"/>
              <w:jc w:val="center"/>
              <w:rPr>
                <w:rFonts w:hint="eastAsia" w:hAnsi="宋体"/>
                <w:spacing w:val="20"/>
                <w:sz w:val="24"/>
              </w:rPr>
            </w:pPr>
            <w:r>
              <w:rPr>
                <w:rFonts w:hint="eastAsia" w:hAnsi="宋体"/>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1089" w:type="dxa"/>
            <w:vAlign w:val="center"/>
          </w:tcPr>
          <w:p>
            <w:pPr>
              <w:adjustRightInd w:val="0"/>
              <w:snapToGrid w:val="0"/>
              <w:ind w:right="172" w:rightChars="82"/>
              <w:jc w:val="center"/>
              <w:rPr>
                <w:rFonts w:hint="eastAsia" w:hAnsi="宋体"/>
                <w:spacing w:val="20"/>
                <w:sz w:val="24"/>
              </w:rPr>
            </w:pPr>
          </w:p>
        </w:tc>
        <w:tc>
          <w:tcPr>
            <w:tcW w:w="2172" w:type="dxa"/>
            <w:vAlign w:val="center"/>
          </w:tcPr>
          <w:p>
            <w:pPr>
              <w:adjustRightInd w:val="0"/>
              <w:snapToGrid w:val="0"/>
              <w:ind w:right="172" w:rightChars="82"/>
              <w:rPr>
                <w:rFonts w:hint="eastAsia" w:hAnsi="宋体"/>
                <w:spacing w:val="20"/>
                <w:sz w:val="24"/>
              </w:rPr>
            </w:pPr>
          </w:p>
        </w:tc>
        <w:tc>
          <w:tcPr>
            <w:tcW w:w="1701" w:type="dxa"/>
            <w:vAlign w:val="center"/>
          </w:tcPr>
          <w:p>
            <w:pPr>
              <w:adjustRightInd w:val="0"/>
              <w:snapToGrid w:val="0"/>
              <w:ind w:right="172" w:rightChars="82"/>
              <w:jc w:val="center"/>
              <w:rPr>
                <w:rFonts w:hint="eastAsia" w:hAnsi="宋体"/>
                <w:spacing w:val="20"/>
                <w:sz w:val="24"/>
              </w:rPr>
            </w:pPr>
          </w:p>
        </w:tc>
        <w:tc>
          <w:tcPr>
            <w:tcW w:w="2410" w:type="dxa"/>
            <w:vAlign w:val="center"/>
          </w:tcPr>
          <w:p>
            <w:pPr>
              <w:adjustRightInd w:val="0"/>
              <w:snapToGrid w:val="0"/>
              <w:ind w:right="172" w:rightChars="82"/>
              <w:jc w:val="center"/>
              <w:rPr>
                <w:rFonts w:hint="eastAsia" w:hAnsi="宋体"/>
                <w:spacing w:val="20"/>
                <w:sz w:val="24"/>
              </w:rPr>
            </w:pPr>
          </w:p>
        </w:tc>
        <w:tc>
          <w:tcPr>
            <w:tcW w:w="2126" w:type="dxa"/>
            <w:vAlign w:val="center"/>
          </w:tcPr>
          <w:p>
            <w:pPr>
              <w:adjustRightInd w:val="0"/>
              <w:snapToGrid w:val="0"/>
              <w:ind w:right="172" w:rightChars="82"/>
              <w:jc w:val="center"/>
              <w:rPr>
                <w:rFonts w:hint="eastAsia" w:hAnsi="宋体"/>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74" w:hRule="atLeast"/>
        </w:trPr>
        <w:tc>
          <w:tcPr>
            <w:tcW w:w="1089" w:type="dxa"/>
            <w:vAlign w:val="center"/>
          </w:tcPr>
          <w:p>
            <w:pPr>
              <w:adjustRightInd w:val="0"/>
              <w:snapToGrid w:val="0"/>
              <w:ind w:right="172" w:rightChars="82"/>
              <w:jc w:val="center"/>
              <w:rPr>
                <w:rFonts w:hint="eastAsia" w:hAnsi="宋体"/>
                <w:spacing w:val="20"/>
                <w:sz w:val="24"/>
              </w:rPr>
            </w:pPr>
          </w:p>
        </w:tc>
        <w:tc>
          <w:tcPr>
            <w:tcW w:w="2172" w:type="dxa"/>
            <w:vAlign w:val="center"/>
          </w:tcPr>
          <w:p>
            <w:pPr>
              <w:adjustRightInd w:val="0"/>
              <w:snapToGrid w:val="0"/>
              <w:ind w:right="172" w:rightChars="82"/>
              <w:rPr>
                <w:rFonts w:hint="eastAsia" w:hAnsi="宋体"/>
                <w:b/>
                <w:spacing w:val="20"/>
                <w:sz w:val="24"/>
              </w:rPr>
            </w:pPr>
          </w:p>
        </w:tc>
        <w:tc>
          <w:tcPr>
            <w:tcW w:w="1701" w:type="dxa"/>
            <w:vAlign w:val="center"/>
          </w:tcPr>
          <w:p>
            <w:pPr>
              <w:adjustRightInd w:val="0"/>
              <w:snapToGrid w:val="0"/>
              <w:ind w:right="172" w:rightChars="82"/>
              <w:jc w:val="center"/>
              <w:rPr>
                <w:rFonts w:hint="eastAsia" w:hAnsi="宋体"/>
                <w:b/>
                <w:spacing w:val="20"/>
                <w:sz w:val="24"/>
              </w:rPr>
            </w:pPr>
          </w:p>
        </w:tc>
        <w:tc>
          <w:tcPr>
            <w:tcW w:w="2410" w:type="dxa"/>
            <w:vAlign w:val="center"/>
          </w:tcPr>
          <w:p>
            <w:pPr>
              <w:adjustRightInd w:val="0"/>
              <w:snapToGrid w:val="0"/>
              <w:ind w:right="172" w:rightChars="82"/>
              <w:jc w:val="center"/>
              <w:rPr>
                <w:rFonts w:hint="eastAsia" w:hAnsi="宋体"/>
                <w:b/>
                <w:spacing w:val="20"/>
                <w:sz w:val="24"/>
              </w:rPr>
            </w:pPr>
          </w:p>
        </w:tc>
        <w:tc>
          <w:tcPr>
            <w:tcW w:w="2126" w:type="dxa"/>
            <w:vAlign w:val="center"/>
          </w:tcPr>
          <w:p>
            <w:pPr>
              <w:adjustRightInd w:val="0"/>
              <w:snapToGrid w:val="0"/>
              <w:ind w:right="172" w:rightChars="82"/>
              <w:jc w:val="center"/>
              <w:rPr>
                <w:rFonts w:hint="eastAsia" w:hAnsi="宋体"/>
                <w:b/>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3261" w:type="dxa"/>
            <w:gridSpan w:val="2"/>
            <w:vAlign w:val="center"/>
          </w:tcPr>
          <w:p>
            <w:pPr>
              <w:adjustRightInd w:val="0"/>
              <w:snapToGrid w:val="0"/>
              <w:ind w:right="172" w:rightChars="82" w:firstLine="565" w:firstLineChars="202"/>
              <w:jc w:val="center"/>
              <w:rPr>
                <w:rFonts w:hint="eastAsia" w:hAnsi="宋体"/>
                <w:spacing w:val="20"/>
                <w:sz w:val="24"/>
              </w:rPr>
            </w:pPr>
            <w:r>
              <w:rPr>
                <w:rFonts w:hint="eastAsia" w:hAnsi="宋体"/>
                <w:spacing w:val="20"/>
                <w:sz w:val="24"/>
              </w:rPr>
              <w:t>标项总价（大写）</w:t>
            </w:r>
          </w:p>
        </w:tc>
        <w:tc>
          <w:tcPr>
            <w:tcW w:w="4111" w:type="dxa"/>
            <w:gridSpan w:val="2"/>
            <w:vAlign w:val="center"/>
          </w:tcPr>
          <w:p>
            <w:pPr>
              <w:adjustRightInd w:val="0"/>
              <w:snapToGrid w:val="0"/>
              <w:ind w:right="172" w:rightChars="82" w:firstLine="565" w:firstLineChars="202"/>
              <w:rPr>
                <w:rFonts w:hint="eastAsia" w:hAnsi="宋体"/>
                <w:spacing w:val="20"/>
                <w:sz w:val="24"/>
              </w:rPr>
            </w:pPr>
            <w:r>
              <w:rPr>
                <w:rFonts w:hint="eastAsia" w:hAnsi="宋体"/>
                <w:spacing w:val="20"/>
                <w:sz w:val="24"/>
              </w:rPr>
              <w:t xml:space="preserve">                    </w:t>
            </w:r>
          </w:p>
        </w:tc>
        <w:tc>
          <w:tcPr>
            <w:tcW w:w="2126" w:type="dxa"/>
            <w:vAlign w:val="center"/>
          </w:tcPr>
          <w:p>
            <w:pPr>
              <w:adjustRightInd w:val="0"/>
              <w:snapToGrid w:val="0"/>
              <w:ind w:right="172" w:rightChars="82"/>
              <w:rPr>
                <w:rFonts w:hint="eastAsia" w:hAnsi="宋体"/>
                <w:spacing w:val="20"/>
                <w:sz w:val="24"/>
              </w:rPr>
            </w:pPr>
            <w:r>
              <w:rPr>
                <w:rFonts w:hint="eastAsia" w:hAnsi="宋体"/>
                <w:spacing w:val="20"/>
                <w:sz w:val="24"/>
              </w:rPr>
              <w:t>￥：</w:t>
            </w:r>
          </w:p>
        </w:tc>
      </w:tr>
    </w:tbl>
    <w:p>
      <w:pPr>
        <w:snapToGrid w:val="0"/>
        <w:spacing w:line="360" w:lineRule="auto"/>
        <w:jc w:val="left"/>
        <w:rPr>
          <w:rFonts w:hint="eastAsia" w:ascii="宋体" w:hAnsi="宋体"/>
          <w:sz w:val="24"/>
        </w:rPr>
      </w:pPr>
      <w:r>
        <w:rPr>
          <w:rFonts w:hint="eastAsia" w:ascii="宋体" w:hAnsi="宋体"/>
          <w:sz w:val="24"/>
        </w:rPr>
        <w:t>注: 1、报价一经涂改，应在涂改处加盖单位公章或者由法定代表人或其授权代表签字或盖章，否则其磋商响应作无效标处理。</w:t>
      </w:r>
    </w:p>
    <w:p>
      <w:pPr>
        <w:snapToGrid w:val="0"/>
        <w:spacing w:line="360" w:lineRule="auto"/>
        <w:ind w:firstLine="480" w:firstLineChars="200"/>
        <w:jc w:val="left"/>
        <w:rPr>
          <w:rFonts w:hint="eastAsia" w:ascii="宋体" w:hAnsi="宋体"/>
          <w:sz w:val="24"/>
        </w:rPr>
      </w:pPr>
      <w:r>
        <w:rPr>
          <w:rFonts w:hint="eastAsia" w:ascii="宋体" w:hAnsi="宋体"/>
          <w:sz w:val="24"/>
        </w:rPr>
        <w:t>2、采购人不接受某一标项中有2个(含)以上的报价或方案，若</w:t>
      </w:r>
      <w:r>
        <w:rPr>
          <w:rFonts w:hint="eastAsia" w:ascii="宋体" w:hAnsi="宋体"/>
          <w:sz w:val="24"/>
          <w:lang w:eastAsia="zh-CN"/>
        </w:rPr>
        <w:t>投标单位</w:t>
      </w:r>
      <w:r>
        <w:rPr>
          <w:rFonts w:hint="eastAsia" w:ascii="宋体" w:hAnsi="宋体"/>
          <w:sz w:val="24"/>
        </w:rPr>
        <w:t>在此表中有2个（含）以上的报价或方案，其磋商响应作无效标处理。</w:t>
      </w:r>
    </w:p>
    <w:p>
      <w:pPr>
        <w:snapToGrid w:val="0"/>
        <w:spacing w:line="360" w:lineRule="auto"/>
        <w:ind w:firstLine="480" w:firstLineChars="200"/>
        <w:jc w:val="left"/>
        <w:rPr>
          <w:rFonts w:hint="eastAsia" w:ascii="宋体" w:hAnsi="宋体"/>
          <w:sz w:val="24"/>
        </w:rPr>
      </w:pPr>
      <w:r>
        <w:rPr>
          <w:rFonts w:hint="eastAsia" w:ascii="宋体" w:hAnsi="宋体"/>
          <w:sz w:val="24"/>
        </w:rPr>
        <w:t>3、以上报价应与“报价明细表”中的“总价”相一致。</w:t>
      </w:r>
    </w:p>
    <w:p>
      <w:pPr>
        <w:spacing w:line="360" w:lineRule="auto"/>
        <w:ind w:left="-2" w:leftChars="-1" w:right="-817" w:rightChars="-389"/>
        <w:rPr>
          <w:rFonts w:hint="eastAsia" w:ascii="宋体" w:hAnsi="宋体"/>
          <w:sz w:val="24"/>
        </w:rPr>
      </w:pPr>
      <w:r>
        <w:rPr>
          <w:rFonts w:hint="eastAsia" w:ascii="宋体" w:hAnsi="宋体"/>
          <w:sz w:val="24"/>
          <w:lang w:eastAsia="zh-CN"/>
        </w:rPr>
        <w:t>投标单位</w:t>
      </w:r>
      <w:r>
        <w:rPr>
          <w:rFonts w:hint="eastAsia" w:ascii="宋体" w:hAnsi="宋体"/>
          <w:sz w:val="24"/>
        </w:rPr>
        <w:t>名称（盖章）：</w:t>
      </w:r>
    </w:p>
    <w:p>
      <w:pPr>
        <w:spacing w:line="360" w:lineRule="auto"/>
        <w:ind w:left="-3" w:leftChars="-72" w:right="-817" w:rightChars="-389" w:hanging="148" w:hangingChars="62"/>
        <w:rPr>
          <w:rFonts w:hint="eastAsia" w:ascii="宋体" w:hAnsi="宋体"/>
          <w:sz w:val="24"/>
        </w:rPr>
      </w:pPr>
    </w:p>
    <w:p>
      <w:pPr>
        <w:spacing w:line="360" w:lineRule="auto"/>
        <w:rPr>
          <w:rFonts w:hint="eastAsia" w:ascii="宋体" w:hAnsi="宋体"/>
          <w:sz w:val="24"/>
        </w:rPr>
      </w:pPr>
      <w:r>
        <w:rPr>
          <w:rFonts w:hint="eastAsia" w:ascii="宋体" w:hAnsi="宋体"/>
          <w:sz w:val="24"/>
        </w:rPr>
        <w:t>法定代表人或其授权代表（签字或盖章）：            日期：    年   月   日</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left="-2" w:leftChars="-72" w:right="-817" w:rightChars="-389" w:hanging="149" w:hangingChars="62"/>
        <w:rPr>
          <w:rFonts w:hint="eastAsia" w:ascii="宋体" w:hAnsi="宋体"/>
          <w:b/>
          <w:sz w:val="24"/>
        </w:rPr>
      </w:pPr>
    </w:p>
    <w:p>
      <w:pPr>
        <w:spacing w:line="360" w:lineRule="auto"/>
        <w:ind w:left="-2" w:leftChars="-72" w:right="-817" w:rightChars="-389" w:hanging="149" w:hangingChars="62"/>
        <w:rPr>
          <w:rFonts w:hint="eastAsia" w:ascii="宋体" w:hAnsi="宋体"/>
          <w:b/>
          <w:sz w:val="24"/>
        </w:rPr>
      </w:pPr>
    </w:p>
    <w:p>
      <w:pPr>
        <w:spacing w:line="360" w:lineRule="auto"/>
        <w:ind w:left="-2" w:leftChars="-72" w:right="-817" w:rightChars="-389" w:hanging="149" w:hangingChars="62"/>
        <w:rPr>
          <w:rFonts w:hint="eastAsia" w:ascii="宋体" w:hAnsi="宋体"/>
          <w:b/>
          <w:sz w:val="24"/>
        </w:rPr>
      </w:pPr>
    </w:p>
    <w:p>
      <w:pPr>
        <w:spacing w:line="360" w:lineRule="auto"/>
        <w:ind w:left="-2" w:leftChars="-72" w:right="-817" w:rightChars="-389" w:hanging="149" w:hangingChars="62"/>
        <w:rPr>
          <w:rFonts w:hint="eastAsia" w:ascii="宋体" w:hAnsi="宋体"/>
          <w:b/>
          <w:sz w:val="24"/>
        </w:rPr>
      </w:pPr>
    </w:p>
    <w:p>
      <w:pPr>
        <w:spacing w:line="360" w:lineRule="auto"/>
        <w:ind w:left="-2" w:leftChars="-72" w:right="-817" w:rightChars="-389" w:hanging="149" w:hangingChars="62"/>
        <w:rPr>
          <w:rFonts w:hint="eastAsia" w:ascii="宋体" w:hAnsi="宋体"/>
          <w:b/>
          <w:sz w:val="24"/>
        </w:rPr>
      </w:pPr>
      <w:bookmarkStart w:id="12" w:name="_GoBack"/>
      <w:bookmarkEnd w:id="12"/>
      <w:r>
        <w:rPr>
          <w:rFonts w:hint="eastAsia" w:ascii="宋体" w:hAnsi="宋体"/>
          <w:b/>
          <w:sz w:val="24"/>
        </w:rPr>
        <w:t>附件3：报价明细表（格式）</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snapToGrid w:val="0"/>
        <w:spacing w:line="360" w:lineRule="auto"/>
        <w:rPr>
          <w:rFonts w:hint="eastAsia" w:ascii="宋体" w:hAnsi="宋体"/>
          <w:sz w:val="24"/>
          <w:u w:val="single"/>
        </w:rPr>
      </w:pPr>
      <w:r>
        <w:rPr>
          <w:rFonts w:hint="eastAsia" w:ascii="宋体" w:hAnsi="宋体"/>
          <w:sz w:val="24"/>
        </w:rPr>
        <w:t>磋商编号：</w:t>
      </w:r>
      <w:r>
        <w:rPr>
          <w:rFonts w:hint="eastAsia" w:ascii="宋体" w:hAnsi="宋体"/>
          <w:sz w:val="24"/>
          <w:u w:val="single"/>
        </w:rPr>
        <w:t xml:space="preserve">                                      </w:t>
      </w:r>
    </w:p>
    <w:p>
      <w:pPr>
        <w:snapToGrid w:val="0"/>
        <w:spacing w:line="360" w:lineRule="auto"/>
        <w:rPr>
          <w:rFonts w:hint="eastAsia" w:ascii="宋体" w:hAnsi="宋体"/>
          <w:sz w:val="24"/>
          <w:u w:val="single"/>
        </w:rPr>
      </w:pPr>
    </w:p>
    <w:tbl>
      <w:tblPr>
        <w:tblStyle w:val="40"/>
        <w:tblW w:w="8804" w:type="dxa"/>
        <w:tblInd w:w="93" w:type="dxa"/>
        <w:tblLayout w:type="fixed"/>
        <w:tblCellMar>
          <w:top w:w="0" w:type="dxa"/>
          <w:left w:w="108" w:type="dxa"/>
          <w:bottom w:w="0" w:type="dxa"/>
          <w:right w:w="108" w:type="dxa"/>
        </w:tblCellMar>
      </w:tblPr>
      <w:tblGrid>
        <w:gridCol w:w="1080"/>
        <w:gridCol w:w="2140"/>
        <w:gridCol w:w="1660"/>
        <w:gridCol w:w="1080"/>
        <w:gridCol w:w="1080"/>
        <w:gridCol w:w="1764"/>
      </w:tblGrid>
      <w:tr>
        <w:tblPrEx>
          <w:tblCellMar>
            <w:top w:w="0" w:type="dxa"/>
            <w:left w:w="108" w:type="dxa"/>
            <w:bottom w:w="0" w:type="dxa"/>
            <w:right w:w="108" w:type="dxa"/>
          </w:tblCellMar>
        </w:tblPrEx>
        <w:trPr>
          <w:trHeight w:val="405" w:hRule="atLeast"/>
        </w:trPr>
        <w:tc>
          <w:tcPr>
            <w:tcW w:w="1080" w:type="dxa"/>
            <w:tcBorders>
              <w:top w:val="single" w:color="auto" w:sz="4" w:space="0"/>
              <w:left w:val="single" w:color="auto" w:sz="4" w:space="0"/>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序号</w:t>
            </w:r>
          </w:p>
        </w:tc>
        <w:tc>
          <w:tcPr>
            <w:tcW w:w="214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项目具体工作内容</w:t>
            </w:r>
          </w:p>
        </w:tc>
        <w:tc>
          <w:tcPr>
            <w:tcW w:w="166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数量</w:t>
            </w:r>
          </w:p>
        </w:tc>
        <w:tc>
          <w:tcPr>
            <w:tcW w:w="10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单价</w:t>
            </w:r>
          </w:p>
        </w:tc>
        <w:tc>
          <w:tcPr>
            <w:tcW w:w="1080"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合价</w:t>
            </w:r>
          </w:p>
        </w:tc>
        <w:tc>
          <w:tcPr>
            <w:tcW w:w="1764" w:type="dxa"/>
            <w:tcBorders>
              <w:top w:val="single" w:color="auto" w:sz="4" w:space="0"/>
              <w:left w:val="nil"/>
              <w:bottom w:val="single" w:color="auto" w:sz="4" w:space="0"/>
              <w:right w:val="single" w:color="auto" w:sz="4" w:space="0"/>
            </w:tcBorders>
            <w:vAlign w:val="bottom"/>
          </w:tcPr>
          <w:p>
            <w:pPr>
              <w:widowControl/>
              <w:jc w:val="center"/>
              <w:rPr>
                <w:rFonts w:ascii="宋体" w:hAnsi="宋体" w:cs="宋体"/>
                <w:kern w:val="0"/>
                <w:sz w:val="24"/>
              </w:rPr>
            </w:pPr>
            <w:r>
              <w:rPr>
                <w:rFonts w:hint="eastAsia" w:ascii="宋体" w:hAnsi="宋体" w:cs="宋体"/>
                <w:kern w:val="0"/>
                <w:sz w:val="24"/>
              </w:rPr>
              <w:t>备注</w:t>
            </w: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76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214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66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080"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c>
          <w:tcPr>
            <w:tcW w:w="1764" w:type="dxa"/>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66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76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66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76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66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76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66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76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hint="eastAsia" w:ascii="宋体" w:hAnsi="宋体" w:cs="宋体"/>
                <w:kern w:val="0"/>
                <w:sz w:val="24"/>
              </w:rPr>
            </w:pPr>
          </w:p>
        </w:tc>
        <w:tc>
          <w:tcPr>
            <w:tcW w:w="214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66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080"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c>
          <w:tcPr>
            <w:tcW w:w="1764" w:type="dxa"/>
            <w:tcBorders>
              <w:top w:val="nil"/>
              <w:left w:val="nil"/>
              <w:bottom w:val="single" w:color="auto" w:sz="4" w:space="0"/>
              <w:right w:val="single" w:color="auto" w:sz="4" w:space="0"/>
            </w:tcBorders>
            <w:vAlign w:val="bottom"/>
          </w:tcPr>
          <w:p>
            <w:pPr>
              <w:widowControl/>
              <w:jc w:val="left"/>
              <w:rPr>
                <w:rFonts w:hint="eastAsia" w:ascii="宋体" w:hAnsi="宋体" w:cs="宋体"/>
                <w:kern w:val="0"/>
                <w:sz w:val="24"/>
              </w:rPr>
            </w:pPr>
          </w:p>
        </w:tc>
      </w:tr>
      <w:tr>
        <w:tblPrEx>
          <w:tblCellMar>
            <w:top w:w="0" w:type="dxa"/>
            <w:left w:w="108" w:type="dxa"/>
            <w:bottom w:w="0" w:type="dxa"/>
            <w:right w:w="108" w:type="dxa"/>
          </w:tblCellMar>
        </w:tblPrEx>
        <w:trPr>
          <w:trHeight w:val="702" w:hRule="atLeast"/>
        </w:trPr>
        <w:tc>
          <w:tcPr>
            <w:tcW w:w="1080" w:type="dxa"/>
            <w:tcBorders>
              <w:top w:val="nil"/>
              <w:left w:val="single" w:color="auto" w:sz="4" w:space="0"/>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总价</w:t>
            </w:r>
          </w:p>
        </w:tc>
        <w:tc>
          <w:tcPr>
            <w:tcW w:w="4880" w:type="dxa"/>
            <w:gridSpan w:val="3"/>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p>
            <w:pPr>
              <w:widowControl/>
              <w:jc w:val="left"/>
              <w:rPr>
                <w:rFonts w:ascii="宋体" w:hAnsi="宋体" w:cs="宋体"/>
                <w:kern w:val="0"/>
                <w:sz w:val="24"/>
              </w:rPr>
            </w:pPr>
            <w:r>
              <w:rPr>
                <w:rFonts w:hint="eastAsia" w:ascii="宋体" w:hAnsi="宋体" w:cs="宋体"/>
                <w:kern w:val="0"/>
                <w:sz w:val="24"/>
              </w:rPr>
              <w:t>　　大写</w:t>
            </w:r>
          </w:p>
        </w:tc>
        <w:tc>
          <w:tcPr>
            <w:tcW w:w="2844" w:type="dxa"/>
            <w:gridSpan w:val="2"/>
            <w:tcBorders>
              <w:top w:val="nil"/>
              <w:left w:val="nil"/>
              <w:bottom w:val="single" w:color="auto" w:sz="4" w:space="0"/>
              <w:right w:val="single" w:color="auto" w:sz="4" w:space="0"/>
            </w:tcBorders>
            <w:vAlign w:val="bottom"/>
          </w:tcPr>
          <w:p>
            <w:pPr>
              <w:widowControl/>
              <w:jc w:val="left"/>
              <w:rPr>
                <w:rFonts w:ascii="宋体" w:hAnsi="宋体" w:cs="宋体"/>
                <w:kern w:val="0"/>
                <w:sz w:val="24"/>
              </w:rPr>
            </w:pPr>
            <w:r>
              <w:rPr>
                <w:rFonts w:hint="eastAsia" w:ascii="宋体" w:hAnsi="宋体" w:cs="宋体"/>
                <w:kern w:val="0"/>
                <w:sz w:val="24"/>
              </w:rPr>
              <w:t>　￥：</w:t>
            </w:r>
          </w:p>
        </w:tc>
      </w:tr>
    </w:tbl>
    <w:p>
      <w:pPr>
        <w:tabs>
          <w:tab w:val="left" w:pos="570"/>
        </w:tabs>
        <w:spacing w:line="360" w:lineRule="auto"/>
        <w:ind w:firstLine="240" w:firstLineChars="100"/>
        <w:jc w:val="left"/>
        <w:rPr>
          <w:rFonts w:hint="eastAsia" w:ascii="宋体" w:hAnsi="宋体"/>
          <w:sz w:val="24"/>
        </w:rPr>
      </w:pPr>
      <w:r>
        <w:rPr>
          <w:rFonts w:hint="eastAsia" w:ascii="宋体" w:hAnsi="宋体"/>
          <w:sz w:val="24"/>
        </w:rPr>
        <w:t>注：以表中各项可进一步细分，栏数不够可自加，要求按产品和服务内容细分项目及报价。</w:t>
      </w:r>
    </w:p>
    <w:p>
      <w:pPr>
        <w:tabs>
          <w:tab w:val="left" w:pos="4905"/>
        </w:tabs>
        <w:spacing w:line="360" w:lineRule="auto"/>
        <w:jc w:val="left"/>
        <w:rPr>
          <w:rFonts w:hint="eastAsia" w:ascii="宋体" w:hAnsi="宋体"/>
          <w:sz w:val="24"/>
        </w:rPr>
      </w:pPr>
    </w:p>
    <w:p>
      <w:pPr>
        <w:tabs>
          <w:tab w:val="left" w:pos="570"/>
        </w:tabs>
        <w:spacing w:line="360" w:lineRule="auto"/>
        <w:jc w:val="left"/>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lang w:eastAsia="zh-CN"/>
        </w:rPr>
        <w:t>投标单位</w:t>
      </w:r>
      <w:r>
        <w:rPr>
          <w:rFonts w:hint="eastAsia" w:ascii="宋体" w:hAnsi="宋体"/>
          <w:sz w:val="24"/>
        </w:rPr>
        <w:t>名称（盖章）：</w:t>
      </w:r>
    </w:p>
    <w:p>
      <w:pPr>
        <w:spacing w:line="360" w:lineRule="auto"/>
        <w:jc w:val="left"/>
        <w:rPr>
          <w:rFonts w:hint="eastAsia" w:ascii="宋体" w:hAnsi="宋体"/>
          <w:sz w:val="24"/>
        </w:rPr>
      </w:pPr>
    </w:p>
    <w:p>
      <w:pPr>
        <w:spacing w:line="360" w:lineRule="auto"/>
        <w:rPr>
          <w:rFonts w:hint="eastAsia" w:ascii="宋体" w:hAnsi="宋体"/>
          <w:sz w:val="24"/>
        </w:rPr>
      </w:pPr>
      <w:r>
        <w:rPr>
          <w:rFonts w:hint="eastAsia" w:ascii="宋体" w:hAnsi="宋体"/>
          <w:sz w:val="24"/>
        </w:rPr>
        <w:t>法定代表人或其授权代表（签字或盖章）：</w:t>
      </w:r>
    </w:p>
    <w:p>
      <w:pPr>
        <w:spacing w:line="360" w:lineRule="auto"/>
        <w:jc w:val="left"/>
        <w:rPr>
          <w:rFonts w:hint="eastAsia" w:ascii="宋体" w:hAnsi="宋体"/>
          <w:sz w:val="24"/>
        </w:rPr>
      </w:pPr>
    </w:p>
    <w:p>
      <w:pPr>
        <w:spacing w:line="360" w:lineRule="auto"/>
        <w:rPr>
          <w:rFonts w:hint="eastAsia" w:ascii="宋体" w:hAnsi="宋体"/>
          <w:sz w:val="24"/>
        </w:rPr>
      </w:pPr>
      <w:r>
        <w:rPr>
          <w:rFonts w:hint="eastAsia" w:ascii="宋体" w:hAnsi="宋体"/>
        </w:rPr>
        <w:t xml:space="preserve">                                                     </w:t>
      </w:r>
      <w:r>
        <w:rPr>
          <w:rFonts w:hint="eastAsia" w:ascii="宋体" w:hAnsi="宋体"/>
          <w:sz w:val="24"/>
        </w:rPr>
        <w:t>日期：    年   月   日</w:t>
      </w:r>
    </w:p>
    <w:p>
      <w:pPr>
        <w:tabs>
          <w:tab w:val="left" w:pos="570"/>
        </w:tabs>
        <w:spacing w:line="360" w:lineRule="auto"/>
        <w:rPr>
          <w:rFonts w:hint="eastAsia" w:ascii="宋体" w:hAnsi="宋体"/>
          <w:b/>
          <w:sz w:val="24"/>
        </w:rPr>
      </w:pPr>
    </w:p>
    <w:p>
      <w:pPr>
        <w:spacing w:line="360" w:lineRule="auto"/>
        <w:rPr>
          <w:rFonts w:hint="eastAsia" w:ascii="宋体" w:hAnsi="宋体"/>
          <w:b/>
          <w:sz w:val="44"/>
          <w:szCs w:val="44"/>
        </w:rPr>
      </w:pPr>
      <w:r>
        <w:rPr>
          <w:rFonts w:hint="eastAsia" w:ascii="宋体" w:hAnsi="宋体"/>
          <w:b/>
          <w:sz w:val="24"/>
        </w:rPr>
        <w:t>附件4：法定代表人授权委托书（格式）</w:t>
      </w:r>
      <w:r>
        <w:rPr>
          <w:rFonts w:hint="eastAsia" w:ascii="宋体" w:hAnsi="宋体"/>
          <w:b/>
          <w:sz w:val="44"/>
          <w:szCs w:val="44"/>
        </w:rPr>
        <w:t xml:space="preserve"> </w:t>
      </w:r>
    </w:p>
    <w:p>
      <w:pPr>
        <w:spacing w:line="360" w:lineRule="auto"/>
        <w:jc w:val="center"/>
        <w:rPr>
          <w:rFonts w:hint="eastAsia" w:ascii="宋体" w:hAnsi="宋体"/>
          <w:b/>
          <w:sz w:val="24"/>
        </w:rPr>
      </w:pPr>
    </w:p>
    <w:p>
      <w:pPr>
        <w:snapToGrid w:val="0"/>
        <w:spacing w:line="360" w:lineRule="auto"/>
        <w:ind w:firstLine="480" w:firstLineChars="200"/>
        <w:rPr>
          <w:rFonts w:hint="eastAsia" w:ascii="宋体" w:hAnsi="宋体"/>
          <w:sz w:val="24"/>
        </w:rPr>
      </w:pPr>
      <w:r>
        <w:rPr>
          <w:rFonts w:hint="eastAsia" w:ascii="宋体" w:hAnsi="宋体"/>
          <w:sz w:val="24"/>
        </w:rPr>
        <w:t>本授权委托书声明：我</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投标单位</w:t>
      </w:r>
      <w:r>
        <w:rPr>
          <w:rFonts w:hint="eastAsia" w:ascii="宋体" w:hAnsi="宋体"/>
          <w:sz w:val="24"/>
        </w:rPr>
        <w:t>名称）的法定代表人，现授权委托</w:t>
      </w:r>
      <w:r>
        <w:rPr>
          <w:rFonts w:hint="eastAsia" w:ascii="宋体" w:hAnsi="宋体"/>
          <w:sz w:val="24"/>
          <w:u w:val="single"/>
        </w:rPr>
        <w:t xml:space="preserve">                         </w:t>
      </w:r>
      <w:r>
        <w:rPr>
          <w:rFonts w:hint="eastAsia" w:ascii="宋体" w:hAnsi="宋体"/>
          <w:sz w:val="24"/>
        </w:rPr>
        <w:t>（单位名称）的</w:t>
      </w:r>
      <w:r>
        <w:rPr>
          <w:rFonts w:hint="eastAsia" w:ascii="宋体" w:hAnsi="宋体"/>
          <w:sz w:val="24"/>
          <w:u w:val="single"/>
        </w:rPr>
        <w:t xml:space="preserve">         </w:t>
      </w:r>
      <w:r>
        <w:rPr>
          <w:rFonts w:hint="eastAsia" w:ascii="宋体" w:hAnsi="宋体"/>
          <w:sz w:val="24"/>
        </w:rPr>
        <w:t>（姓名）为我公司授权代表，身份证号码</w:t>
      </w:r>
      <w:r>
        <w:rPr>
          <w:rFonts w:hint="eastAsia" w:ascii="宋体" w:hAnsi="宋体"/>
          <w:sz w:val="24"/>
          <w:u w:val="single"/>
        </w:rPr>
        <w:t xml:space="preserve">                    </w:t>
      </w:r>
      <w:r>
        <w:rPr>
          <w:rFonts w:hint="eastAsia" w:ascii="宋体" w:hAnsi="宋体"/>
          <w:sz w:val="24"/>
        </w:rPr>
        <w:t>。以本公司的名义参加</w:t>
      </w:r>
      <w:r>
        <w:rPr>
          <w:rFonts w:hint="eastAsia" w:ascii="宋体" w:hAnsi="宋体"/>
          <w:sz w:val="24"/>
          <w:u w:val="single"/>
        </w:rPr>
        <w:t xml:space="preserve">                                        </w:t>
      </w:r>
      <w:r>
        <w:rPr>
          <w:rFonts w:hint="eastAsia" w:ascii="宋体" w:hAnsi="宋体"/>
          <w:sz w:val="24"/>
        </w:rPr>
        <w:t>（采购人、采购代理机构）组织的</w:t>
      </w:r>
      <w:r>
        <w:rPr>
          <w:rFonts w:hint="eastAsia" w:ascii="宋体" w:hAnsi="宋体"/>
          <w:sz w:val="24"/>
          <w:u w:val="single"/>
        </w:rPr>
        <w:t xml:space="preserve">                                             </w:t>
      </w:r>
      <w:r>
        <w:rPr>
          <w:rFonts w:hint="eastAsia" w:ascii="宋体" w:hAnsi="宋体"/>
          <w:sz w:val="24"/>
        </w:rPr>
        <w:t>竞争性磋商活动。授权代表在磋商、评审、合同签订过程中所签署的一切文件和处理与之有关的一切事务，我均予以承认。</w:t>
      </w:r>
    </w:p>
    <w:p>
      <w:pPr>
        <w:snapToGrid w:val="0"/>
        <w:spacing w:line="360" w:lineRule="auto"/>
        <w:ind w:firstLine="480" w:firstLineChars="200"/>
        <w:jc w:val="left"/>
        <w:rPr>
          <w:rFonts w:hint="eastAsia" w:ascii="宋体" w:hAnsi="宋体"/>
          <w:sz w:val="24"/>
        </w:rPr>
      </w:pPr>
      <w:r>
        <w:rPr>
          <w:rFonts w:hint="eastAsia" w:ascii="宋体" w:hAnsi="宋体"/>
          <w:sz w:val="24"/>
        </w:rPr>
        <w:t>在撤销授权的书面通知以前，本授权书一直有效。全权代表在授权书有效期内签署的所有文件不因授权的撤销而失效。</w:t>
      </w:r>
    </w:p>
    <w:p>
      <w:pPr>
        <w:spacing w:line="360" w:lineRule="auto"/>
        <w:ind w:firstLine="480" w:firstLineChars="200"/>
        <w:rPr>
          <w:rFonts w:hint="eastAsia" w:ascii="宋体" w:hAnsi="宋体"/>
          <w:sz w:val="24"/>
        </w:rPr>
      </w:pPr>
      <w:r>
        <w:rPr>
          <w:rFonts w:hint="eastAsia" w:ascii="宋体" w:hAnsi="宋体"/>
          <w:sz w:val="24"/>
        </w:rPr>
        <w:t>授权代表无转委托权。特此委托。</w:t>
      </w:r>
    </w:p>
    <w:p>
      <w:pPr>
        <w:snapToGrid w:val="0"/>
        <w:spacing w:line="360" w:lineRule="auto"/>
        <w:jc w:val="left"/>
        <w:rPr>
          <w:rFonts w:hint="eastAsia" w:ascii="宋体" w:hAnsi="宋体"/>
          <w:sz w:val="24"/>
        </w:rPr>
      </w:pPr>
    </w:p>
    <w:p>
      <w:pPr>
        <w:spacing w:line="360" w:lineRule="auto"/>
        <w:rPr>
          <w:rFonts w:hint="eastAsia" w:ascii="宋体" w:hAnsi="宋体"/>
          <w:sz w:val="24"/>
        </w:rPr>
      </w:pPr>
      <w:r>
        <w:rPr>
          <w:rFonts w:hint="eastAsia" w:ascii="宋体" w:hAnsi="宋体"/>
          <w:sz w:val="24"/>
        </w:rPr>
        <w:t>授权代表：                    性别：               年龄：</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单位：                        部门：               职务：</w:t>
      </w:r>
    </w:p>
    <w:p>
      <w:pPr>
        <w:spacing w:line="360" w:lineRule="auto"/>
        <w:rPr>
          <w:rFonts w:hint="eastAsia" w:ascii="宋体" w:hAnsi="宋体"/>
          <w:sz w:val="24"/>
        </w:rPr>
      </w:pPr>
    </w:p>
    <w:p>
      <w:pPr>
        <w:widowControl/>
        <w:snapToGrid w:val="0"/>
        <w:spacing w:line="360" w:lineRule="auto"/>
        <w:rPr>
          <w:rFonts w:hint="eastAsia" w:ascii="宋体" w:hAnsi="宋体"/>
          <w:sz w:val="24"/>
        </w:rPr>
      </w:pPr>
      <w:r>
        <w:rPr>
          <w:rFonts w:hint="eastAsia" w:ascii="宋体" w:hAnsi="宋体"/>
          <w:kern w:val="0"/>
          <w:sz w:val="24"/>
        </w:rPr>
        <w:t>办公地址：                  联系电话：            传真：</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lang w:eastAsia="zh-CN"/>
        </w:rPr>
        <w:t>投标单位</w:t>
      </w:r>
      <w:r>
        <w:rPr>
          <w:rFonts w:hint="eastAsia" w:ascii="宋体" w:hAnsi="宋体"/>
          <w:sz w:val="24"/>
        </w:rPr>
        <w:t>名称（盖章）：</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法定代表人（签字或盖章）：</w:t>
      </w:r>
    </w:p>
    <w:p>
      <w:pPr>
        <w:spacing w:line="360" w:lineRule="auto"/>
        <w:rPr>
          <w:rFonts w:hint="eastAsia" w:ascii="宋体" w:hAnsi="宋体"/>
          <w:sz w:val="24"/>
        </w:rPr>
      </w:pPr>
    </w:p>
    <w:p>
      <w:pPr>
        <w:spacing w:line="360" w:lineRule="auto"/>
        <w:rPr>
          <w:rFonts w:hint="eastAsia" w:ascii="宋体" w:hAnsi="宋体"/>
          <w:sz w:val="24"/>
        </w:rPr>
      </w:pPr>
    </w:p>
    <w:p>
      <w:pPr>
        <w:spacing w:line="360" w:lineRule="auto"/>
        <w:ind w:firstLine="5040" w:firstLineChars="2100"/>
        <w:jc w:val="left"/>
        <w:rPr>
          <w:rFonts w:hint="eastAsia" w:ascii="宋体" w:hAnsi="宋体"/>
          <w:sz w:val="24"/>
        </w:rPr>
      </w:pPr>
      <w:r>
        <w:rPr>
          <w:rFonts w:hint="eastAsia" w:ascii="宋体" w:hAnsi="宋体"/>
          <w:sz w:val="24"/>
        </w:rPr>
        <w:t>日期：    年   月   日</w:t>
      </w:r>
    </w:p>
    <w:p>
      <w:pPr>
        <w:spacing w:line="360" w:lineRule="auto"/>
        <w:rPr>
          <w:rFonts w:hint="eastAsia" w:ascii="宋体" w:hAnsi="宋体"/>
          <w:b/>
          <w:sz w:val="24"/>
        </w:rPr>
      </w:pPr>
      <w:r>
        <w:rPr>
          <w:rFonts w:hint="eastAsia" w:ascii="宋体" w:hAnsi="宋体"/>
          <w:b/>
          <w:sz w:val="24"/>
        </w:rPr>
        <w:t>附：授权代表身份证复印件（正反面）</w:t>
      </w:r>
    </w:p>
    <w:p>
      <w:pPr>
        <w:spacing w:line="360" w:lineRule="auto"/>
        <w:jc w:val="left"/>
        <w:rPr>
          <w:rFonts w:hint="eastAsia" w:ascii="宋体" w:hAnsi="宋体"/>
          <w:b/>
          <w:sz w:val="24"/>
        </w:rPr>
      </w:pPr>
    </w:p>
    <w:p>
      <w:pPr>
        <w:spacing w:line="360" w:lineRule="auto"/>
        <w:rPr>
          <w:rFonts w:hint="eastAsia" w:ascii="宋体" w:hAnsi="宋体"/>
          <w:b/>
          <w:sz w:val="24"/>
        </w:rPr>
      </w:pPr>
    </w:p>
    <w:p>
      <w:pPr>
        <w:spacing w:line="360" w:lineRule="auto"/>
        <w:rPr>
          <w:rFonts w:hint="eastAsia" w:ascii="宋体" w:hAnsi="宋体"/>
          <w:b/>
          <w:sz w:val="24"/>
        </w:rPr>
      </w:pPr>
      <w:r>
        <w:rPr>
          <w:rFonts w:hint="eastAsia" w:ascii="宋体" w:hAnsi="宋体"/>
          <w:b/>
          <w:sz w:val="24"/>
        </w:rPr>
        <w:t>附件5：法定代表人身份证明书(格式)</w:t>
      </w:r>
    </w:p>
    <w:p>
      <w:pPr>
        <w:spacing w:line="720" w:lineRule="auto"/>
        <w:jc w:val="left"/>
        <w:rPr>
          <w:rFonts w:hint="eastAsia" w:ascii="宋体" w:hAnsi="宋体"/>
          <w:sz w:val="24"/>
        </w:rPr>
      </w:pPr>
      <w:r>
        <w:rPr>
          <w:rFonts w:hint="eastAsia" w:ascii="宋体" w:hAnsi="宋体"/>
          <w:sz w:val="24"/>
        </w:rPr>
        <w:t>投 标 人：</w:t>
      </w:r>
      <w:r>
        <w:rPr>
          <w:rFonts w:hint="eastAsia" w:ascii="宋体" w:hAnsi="宋体"/>
          <w:sz w:val="24"/>
          <w:u w:val="single"/>
        </w:rPr>
        <w:t xml:space="preserve">                              </w:t>
      </w:r>
    </w:p>
    <w:p>
      <w:pPr>
        <w:spacing w:line="720" w:lineRule="auto"/>
        <w:jc w:val="left"/>
        <w:rPr>
          <w:rFonts w:hint="eastAsia" w:ascii="宋体" w:hAnsi="宋体"/>
          <w:sz w:val="24"/>
        </w:rPr>
      </w:pPr>
      <w:r>
        <w:rPr>
          <w:rFonts w:hint="eastAsia" w:ascii="宋体" w:hAnsi="宋体"/>
          <w:sz w:val="24"/>
        </w:rPr>
        <w:t>地    址：</w:t>
      </w:r>
      <w:r>
        <w:rPr>
          <w:rFonts w:hint="eastAsia" w:ascii="宋体" w:hAnsi="宋体"/>
          <w:sz w:val="24"/>
          <w:u w:val="single"/>
        </w:rPr>
        <w:t xml:space="preserve">                              </w:t>
      </w:r>
    </w:p>
    <w:p>
      <w:pPr>
        <w:spacing w:line="720" w:lineRule="auto"/>
        <w:ind w:right="281" w:rightChars="134"/>
        <w:jc w:val="left"/>
        <w:rPr>
          <w:rFonts w:hint="eastAsia" w:ascii="宋体" w:hAnsi="宋体"/>
          <w:sz w:val="24"/>
          <w:u w:val="single"/>
        </w:rPr>
      </w:pPr>
      <w:r>
        <w:rPr>
          <w:rFonts w:hint="eastAsia" w:ascii="宋体" w:hAnsi="宋体"/>
          <w:sz w:val="24"/>
        </w:rPr>
        <w:t>姓    名：</w:t>
      </w:r>
      <w:r>
        <w:rPr>
          <w:rFonts w:hint="eastAsia" w:ascii="宋体" w:hAnsi="宋体"/>
          <w:sz w:val="24"/>
          <w:u w:val="single"/>
        </w:rPr>
        <w:t xml:space="preserve">                     </w:t>
      </w:r>
    </w:p>
    <w:p>
      <w:pPr>
        <w:spacing w:line="720" w:lineRule="auto"/>
        <w:ind w:right="281" w:rightChars="134"/>
        <w:jc w:val="left"/>
        <w:rPr>
          <w:rFonts w:hint="eastAsia" w:ascii="宋体" w:hAnsi="宋体"/>
          <w:sz w:val="24"/>
          <w:u w:val="single"/>
        </w:rPr>
      </w:pPr>
      <w:r>
        <w:rPr>
          <w:rFonts w:hint="eastAsia" w:ascii="宋体" w:hAnsi="宋体"/>
          <w:sz w:val="24"/>
        </w:rPr>
        <w:t>身份证号码：</w:t>
      </w:r>
      <w:r>
        <w:rPr>
          <w:rFonts w:hint="eastAsia" w:ascii="宋体" w:hAnsi="宋体"/>
          <w:sz w:val="24"/>
          <w:u w:val="single"/>
        </w:rPr>
        <w:t xml:space="preserve">                   </w:t>
      </w:r>
    </w:p>
    <w:p>
      <w:pPr>
        <w:spacing w:line="720" w:lineRule="auto"/>
        <w:ind w:right="281" w:rightChars="134"/>
        <w:jc w:val="left"/>
        <w:rPr>
          <w:rFonts w:hint="eastAsia" w:ascii="宋体" w:hAnsi="宋体"/>
          <w:sz w:val="24"/>
        </w:rPr>
      </w:pPr>
      <w:r>
        <w:rPr>
          <w:rFonts w:hint="eastAsia" w:ascii="宋体" w:hAnsi="宋体"/>
          <w:sz w:val="24"/>
        </w:rPr>
        <w:t>职   务：</w:t>
      </w:r>
      <w:r>
        <w:rPr>
          <w:rFonts w:hint="eastAsia" w:ascii="宋体" w:hAnsi="宋体"/>
          <w:sz w:val="24"/>
          <w:u w:val="single"/>
        </w:rPr>
        <w:t xml:space="preserve">                     </w:t>
      </w:r>
    </w:p>
    <w:p>
      <w:pPr>
        <w:spacing w:line="720" w:lineRule="auto"/>
        <w:jc w:val="left"/>
        <w:rPr>
          <w:rFonts w:hint="eastAsia"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w:t>
      </w:r>
      <w:r>
        <w:rPr>
          <w:rFonts w:hint="eastAsia" w:ascii="宋体" w:hAnsi="宋体"/>
          <w:sz w:val="24"/>
          <w:lang w:eastAsia="zh-CN"/>
        </w:rPr>
        <w:t>投标单位</w:t>
      </w:r>
      <w:r>
        <w:rPr>
          <w:rFonts w:hint="eastAsia" w:ascii="宋体" w:hAnsi="宋体"/>
          <w:sz w:val="24"/>
        </w:rPr>
        <w:t>名称）的法定代表人。</w:t>
      </w:r>
    </w:p>
    <w:p>
      <w:pPr>
        <w:spacing w:line="720" w:lineRule="auto"/>
        <w:jc w:val="left"/>
        <w:rPr>
          <w:rFonts w:hint="eastAsia" w:ascii="宋体" w:hAnsi="宋体"/>
          <w:sz w:val="24"/>
        </w:rPr>
      </w:pPr>
      <w:r>
        <w:rPr>
          <w:rFonts w:hint="eastAsia" w:ascii="宋体" w:hAnsi="宋体"/>
          <w:sz w:val="24"/>
        </w:rPr>
        <w:t>特此证明。</w:t>
      </w:r>
    </w:p>
    <w:p>
      <w:pPr>
        <w:spacing w:line="720" w:lineRule="auto"/>
        <w:jc w:val="left"/>
        <w:rPr>
          <w:rFonts w:ascii="宋体" w:hAnsi="宋体"/>
          <w:sz w:val="24"/>
        </w:rPr>
      </w:pPr>
    </w:p>
    <w:p>
      <w:pPr>
        <w:spacing w:line="720" w:lineRule="auto"/>
        <w:jc w:val="left"/>
        <w:rPr>
          <w:rFonts w:hint="eastAsia" w:ascii="宋体" w:hAnsi="宋体"/>
          <w:sz w:val="24"/>
        </w:rPr>
      </w:pPr>
      <w:r>
        <w:rPr>
          <w:rFonts w:hint="eastAsia" w:ascii="宋体" w:hAnsi="宋体"/>
          <w:sz w:val="24"/>
          <w:lang w:eastAsia="zh-CN"/>
        </w:rPr>
        <w:t>投标单位</w:t>
      </w:r>
      <w:r>
        <w:rPr>
          <w:rFonts w:hint="eastAsia" w:ascii="宋体" w:hAnsi="宋体"/>
          <w:sz w:val="24"/>
        </w:rPr>
        <w:t>名称：                             （盖章）</w:t>
      </w:r>
    </w:p>
    <w:p>
      <w:pPr>
        <w:spacing w:line="720" w:lineRule="auto"/>
        <w:ind w:right="480"/>
        <w:jc w:val="left"/>
        <w:rPr>
          <w:rFonts w:hint="eastAsia" w:ascii="宋体" w:hAnsi="宋体"/>
          <w:sz w:val="24"/>
        </w:rPr>
      </w:pPr>
    </w:p>
    <w:p>
      <w:pPr>
        <w:spacing w:line="720" w:lineRule="auto"/>
        <w:ind w:right="720"/>
        <w:jc w:val="right"/>
        <w:rPr>
          <w:rFonts w:hint="eastAsia" w:ascii="宋体" w:hAnsi="宋体"/>
          <w:sz w:val="24"/>
        </w:rPr>
      </w:pPr>
      <w:r>
        <w:rPr>
          <w:rFonts w:hint="eastAsia" w:ascii="宋体" w:hAnsi="宋体"/>
          <w:sz w:val="24"/>
          <w:u w:val="single"/>
        </w:rPr>
        <w:t>2020</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tabs>
          <w:tab w:val="left" w:pos="570"/>
        </w:tabs>
        <w:spacing w:line="360" w:lineRule="auto"/>
        <w:jc w:val="left"/>
        <w:rPr>
          <w:rFonts w:hint="eastAsia" w:ascii="宋体" w:hAnsi="宋体"/>
          <w:b/>
          <w:sz w:val="24"/>
        </w:rPr>
      </w:pPr>
    </w:p>
    <w:p>
      <w:pPr>
        <w:spacing w:line="360" w:lineRule="auto"/>
        <w:rPr>
          <w:rFonts w:hint="eastAsia" w:ascii="宋体" w:hAnsi="宋体"/>
          <w:b/>
          <w:sz w:val="24"/>
        </w:rPr>
      </w:pPr>
      <w:r>
        <w:rPr>
          <w:rFonts w:hint="eastAsia" w:ascii="宋体" w:hAnsi="宋体"/>
          <w:b/>
          <w:sz w:val="24"/>
        </w:rPr>
        <w:t>附：法定代表人身份证复印件（正反面）</w:t>
      </w:r>
    </w:p>
    <w:p>
      <w:pPr>
        <w:tabs>
          <w:tab w:val="left" w:pos="570"/>
        </w:tabs>
        <w:spacing w:line="360" w:lineRule="auto"/>
        <w:rPr>
          <w:rFonts w:hint="eastAsia" w:ascii="宋体" w:hAnsi="宋体"/>
          <w:b/>
          <w:sz w:val="24"/>
        </w:rPr>
      </w:pPr>
    </w:p>
    <w:p>
      <w:pPr>
        <w:tabs>
          <w:tab w:val="left" w:pos="570"/>
        </w:tabs>
        <w:spacing w:line="360" w:lineRule="auto"/>
        <w:rPr>
          <w:rFonts w:hint="eastAsia" w:ascii="宋体" w:hAnsi="宋体"/>
          <w:b/>
          <w:sz w:val="24"/>
        </w:rPr>
      </w:pPr>
    </w:p>
    <w:p>
      <w:pPr>
        <w:tabs>
          <w:tab w:val="left" w:pos="570"/>
        </w:tabs>
        <w:spacing w:line="360" w:lineRule="auto"/>
        <w:rPr>
          <w:rFonts w:hint="eastAsia" w:ascii="宋体" w:hAnsi="宋体"/>
          <w:b/>
          <w:sz w:val="24"/>
        </w:rPr>
      </w:pPr>
    </w:p>
    <w:p>
      <w:pPr>
        <w:tabs>
          <w:tab w:val="left" w:pos="570"/>
        </w:tabs>
        <w:spacing w:line="360" w:lineRule="auto"/>
        <w:rPr>
          <w:rFonts w:hint="eastAsia" w:ascii="宋体" w:hAnsi="宋体"/>
          <w:b/>
          <w:sz w:val="24"/>
        </w:rPr>
      </w:pPr>
    </w:p>
    <w:p>
      <w:pPr>
        <w:tabs>
          <w:tab w:val="left" w:pos="570"/>
        </w:tabs>
        <w:spacing w:line="360" w:lineRule="auto"/>
        <w:rPr>
          <w:rFonts w:hint="eastAsia" w:ascii="宋体" w:hAnsi="宋体"/>
          <w:b/>
          <w:sz w:val="24"/>
        </w:rPr>
      </w:pPr>
    </w:p>
    <w:p>
      <w:pPr>
        <w:spacing w:line="360" w:lineRule="auto"/>
        <w:ind w:left="-2" w:leftChars="-1" w:right="-817" w:rightChars="-389" w:firstLine="120" w:firstLineChars="50"/>
        <w:rPr>
          <w:rFonts w:hint="eastAsia" w:ascii="宋体" w:hAnsi="宋体"/>
          <w:sz w:val="24"/>
        </w:rPr>
      </w:pPr>
      <w:r>
        <w:rPr>
          <w:rFonts w:hint="eastAsia" w:ascii="宋体" w:hAnsi="宋体"/>
          <w:b/>
          <w:sz w:val="24"/>
        </w:rPr>
        <w:t>附件</w:t>
      </w:r>
      <w:r>
        <w:rPr>
          <w:rFonts w:hint="eastAsia" w:ascii="宋体" w:hAnsi="宋体"/>
          <w:b/>
          <w:sz w:val="24"/>
          <w:lang w:val="en-US" w:eastAsia="zh-CN"/>
        </w:rPr>
        <w:t>6</w:t>
      </w:r>
      <w:r>
        <w:rPr>
          <w:rFonts w:hint="eastAsia" w:ascii="宋体" w:hAnsi="宋体"/>
          <w:b/>
          <w:sz w:val="24"/>
        </w:rPr>
        <w:t xml:space="preserve">： 中小企业声明函              </w:t>
      </w:r>
    </w:p>
    <w:p>
      <w:pPr>
        <w:spacing w:line="540" w:lineRule="exact"/>
        <w:jc w:val="center"/>
        <w:rPr>
          <w:rFonts w:ascii="宋体" w:hAnsi="宋体" w:cs="仿宋_GB2312"/>
          <w:b/>
          <w:sz w:val="32"/>
        </w:rPr>
      </w:pPr>
      <w:r>
        <w:rPr>
          <w:rFonts w:hint="eastAsia" w:ascii="宋体" w:hAnsi="宋体" w:cs="仿宋_GB2312"/>
          <w:b/>
          <w:sz w:val="32"/>
        </w:rPr>
        <w:t>中小企业声明函</w:t>
      </w:r>
    </w:p>
    <w:p>
      <w:pPr>
        <w:spacing w:line="540" w:lineRule="exact"/>
        <w:ind w:firstLine="480" w:firstLineChars="200"/>
        <w:jc w:val="left"/>
        <w:rPr>
          <w:rFonts w:ascii="宋体" w:hAnsi="宋体" w:cs="仿宋_GB2312"/>
          <w:sz w:val="24"/>
        </w:rPr>
      </w:pPr>
      <w:r>
        <w:rPr>
          <w:rFonts w:hint="eastAsia" w:ascii="宋体" w:hAnsi="宋体" w:cs="仿宋_GB2312"/>
          <w:sz w:val="24"/>
        </w:rPr>
        <w:t>本公司（联合体）郑重声明，根据《政府采购促进中小企业发展管理办法》 （财库</w:t>
      </w:r>
      <w:r>
        <w:rPr>
          <w:rFonts w:hint="eastAsia" w:ascii="宋体" w:hAnsi="宋体" w:cs="宋体"/>
          <w:sz w:val="24"/>
        </w:rPr>
        <w:t>﹝</w:t>
      </w:r>
      <w:r>
        <w:rPr>
          <w:rFonts w:hint="eastAsia" w:ascii="宋体" w:hAnsi="宋体" w:cs="仿宋_GB2312"/>
          <w:sz w:val="24"/>
        </w:rPr>
        <w:t>2020</w:t>
      </w:r>
      <w:r>
        <w:rPr>
          <w:rFonts w:hint="eastAsia" w:ascii="宋体" w:hAnsi="宋体" w:cs="宋体"/>
          <w:sz w:val="24"/>
        </w:rPr>
        <w:t>﹞</w:t>
      </w:r>
      <w:r>
        <w:rPr>
          <w:rFonts w:hint="eastAsia" w:ascii="宋体" w:hAnsi="宋体" w:cs="仿宋_GB2312"/>
          <w:sz w:val="24"/>
        </w:rPr>
        <w:t>46 号）的规定，本公司（联合体）参加</w:t>
      </w:r>
      <w:r>
        <w:rPr>
          <w:rFonts w:hint="eastAsia" w:ascii="宋体" w:hAnsi="宋体" w:cs="仿宋_GB2312"/>
          <w:sz w:val="24"/>
          <w:u w:val="single"/>
        </w:rPr>
        <w:t xml:space="preserve">            </w:t>
      </w:r>
      <w:r>
        <w:rPr>
          <w:rFonts w:hint="eastAsia" w:ascii="宋体" w:hAnsi="宋体" w:cs="仿宋_GB2312"/>
          <w:sz w:val="24"/>
        </w:rPr>
        <w:t>的      采购活动，工程的施工单位全部为符合政策要求的中小企业（或者：服务全部由符合政策要求的中小企业承接） 。相关企业（含联合体中的中小企业、签订分包意向协议的中小企业）的具体情况如下：</w:t>
      </w:r>
    </w:p>
    <w:p>
      <w:pPr>
        <w:spacing w:line="540" w:lineRule="exact"/>
        <w:jc w:val="left"/>
        <w:rPr>
          <w:rFonts w:ascii="宋体" w:hAnsi="宋体" w:cs="仿宋_GB2312"/>
          <w:sz w:val="24"/>
        </w:rPr>
      </w:pPr>
      <w:r>
        <w:rPr>
          <w:rFonts w:hint="eastAsia" w:ascii="宋体" w:hAnsi="宋体" w:cs="仿宋_GB2312"/>
          <w:sz w:val="24"/>
        </w:rPr>
        <w:t>1.</w:t>
      </w:r>
      <w:r>
        <w:rPr>
          <w:rFonts w:hint="eastAsia" w:ascii="宋体" w:hAnsi="宋体" w:cs="仿宋_GB2312"/>
          <w:sz w:val="24"/>
          <w:u w:val="single"/>
        </w:rPr>
        <w:t xml:space="preserve">        （标的名称）</w:t>
      </w:r>
      <w:r>
        <w:rPr>
          <w:rFonts w:hint="eastAsia" w:ascii="宋体" w:hAnsi="宋体" w:cs="仿宋_GB2312"/>
          <w:sz w:val="24"/>
        </w:rPr>
        <w:t>，属于</w:t>
      </w:r>
      <w:r>
        <w:rPr>
          <w:rFonts w:hint="eastAsia" w:ascii="宋体" w:hAnsi="宋体" w:cs="仿宋_GB2312"/>
          <w:sz w:val="24"/>
          <w:u w:val="single"/>
        </w:rPr>
        <w:t xml:space="preserve">                  （采购文件中明确的所属行业）</w:t>
      </w:r>
      <w:r>
        <w:rPr>
          <w:rFonts w:hint="eastAsia" w:ascii="宋体" w:hAnsi="宋体" w:cs="仿宋_GB2312"/>
          <w:sz w:val="24"/>
        </w:rPr>
        <w:t>；承建（承接）企业为</w:t>
      </w:r>
      <w:r>
        <w:rPr>
          <w:rFonts w:hint="eastAsia" w:ascii="宋体" w:hAnsi="宋体" w:cs="仿宋_GB2312"/>
          <w:sz w:val="24"/>
          <w:u w:val="single"/>
        </w:rPr>
        <w:t xml:space="preserve">           （企业名称） </w:t>
      </w:r>
      <w:r>
        <w:rPr>
          <w:rFonts w:hint="eastAsia" w:ascii="宋体" w:hAnsi="宋体" w:cs="仿宋_GB2312"/>
          <w:sz w:val="24"/>
        </w:rPr>
        <w:t>，从业人员人，营业收入为万元，资产总额为万元 ，属于</w:t>
      </w:r>
      <w:r>
        <w:rPr>
          <w:rFonts w:hint="eastAsia" w:ascii="宋体" w:hAnsi="宋体" w:cs="仿宋_GB2312"/>
          <w:sz w:val="24"/>
          <w:u w:val="single"/>
        </w:rPr>
        <w:t xml:space="preserve">       （中型企业、小型企业、微型企业）</w:t>
      </w:r>
      <w:r>
        <w:rPr>
          <w:rFonts w:hint="eastAsia" w:ascii="宋体" w:hAnsi="宋体" w:cs="仿宋_GB2312"/>
          <w:sz w:val="24"/>
        </w:rPr>
        <w:t xml:space="preserve"> ；</w:t>
      </w:r>
    </w:p>
    <w:p>
      <w:pPr>
        <w:spacing w:line="540" w:lineRule="exact"/>
        <w:jc w:val="left"/>
        <w:rPr>
          <w:rFonts w:ascii="宋体" w:hAnsi="宋体" w:cs="仿宋_GB2312"/>
          <w:sz w:val="24"/>
        </w:rPr>
      </w:pPr>
      <w:r>
        <w:rPr>
          <w:rFonts w:hint="eastAsia" w:ascii="宋体" w:hAnsi="宋体" w:cs="仿宋_GB2312"/>
          <w:sz w:val="24"/>
        </w:rPr>
        <w:t>2.</w:t>
      </w:r>
      <w:r>
        <w:rPr>
          <w:rFonts w:hint="eastAsia" w:ascii="宋体" w:hAnsi="宋体" w:cs="仿宋_GB2312"/>
          <w:sz w:val="24"/>
          <w:u w:val="single"/>
        </w:rPr>
        <w:t xml:space="preserve">        （标的名称）</w:t>
      </w:r>
      <w:r>
        <w:rPr>
          <w:rFonts w:hint="eastAsia" w:ascii="宋体" w:hAnsi="宋体" w:cs="仿宋_GB2312"/>
          <w:sz w:val="24"/>
        </w:rPr>
        <w:t>，属于</w:t>
      </w:r>
      <w:r>
        <w:rPr>
          <w:rFonts w:hint="eastAsia" w:ascii="宋体" w:hAnsi="宋体" w:cs="仿宋_GB2312"/>
          <w:sz w:val="24"/>
          <w:u w:val="single"/>
        </w:rPr>
        <w:t xml:space="preserve">                  （采购文件中明确的所属行业）</w:t>
      </w:r>
      <w:r>
        <w:rPr>
          <w:rFonts w:hint="eastAsia" w:ascii="宋体" w:hAnsi="宋体" w:cs="仿宋_GB2312"/>
          <w:sz w:val="24"/>
        </w:rPr>
        <w:t>；承建（承接）企业为</w:t>
      </w:r>
      <w:r>
        <w:rPr>
          <w:rFonts w:hint="eastAsia" w:ascii="宋体" w:hAnsi="宋体" w:cs="仿宋_GB2312"/>
          <w:sz w:val="24"/>
          <w:u w:val="single"/>
        </w:rPr>
        <w:t xml:space="preserve">           （企业名称） </w:t>
      </w:r>
      <w:r>
        <w:rPr>
          <w:rFonts w:hint="eastAsia" w:ascii="宋体" w:hAnsi="宋体" w:cs="仿宋_GB2312"/>
          <w:sz w:val="24"/>
        </w:rPr>
        <w:t>，从业人员人，营业收入为万元，资产总额为万元 ，属于</w:t>
      </w:r>
      <w:r>
        <w:rPr>
          <w:rFonts w:hint="eastAsia" w:ascii="宋体" w:hAnsi="宋体" w:cs="仿宋_GB2312"/>
          <w:sz w:val="24"/>
          <w:u w:val="single"/>
        </w:rPr>
        <w:t xml:space="preserve">       （中型企业、小型企业、微型企业）</w:t>
      </w:r>
      <w:r>
        <w:rPr>
          <w:rFonts w:hint="eastAsia" w:ascii="宋体" w:hAnsi="宋体" w:cs="仿宋_GB2312"/>
          <w:sz w:val="24"/>
        </w:rPr>
        <w:t xml:space="preserve"> ；</w:t>
      </w:r>
    </w:p>
    <w:p>
      <w:pPr>
        <w:spacing w:line="540" w:lineRule="exact"/>
        <w:ind w:firstLine="480" w:firstLineChars="200"/>
        <w:jc w:val="left"/>
        <w:rPr>
          <w:rFonts w:ascii="宋体" w:hAnsi="宋体" w:cs="仿宋_GB2312"/>
          <w:sz w:val="24"/>
        </w:rPr>
      </w:pPr>
      <w:r>
        <w:rPr>
          <w:rFonts w:hint="eastAsia" w:ascii="宋体" w:hAnsi="宋体" w:cs="仿宋_GB2312"/>
          <w:sz w:val="24"/>
        </w:rPr>
        <w:t>……</w:t>
      </w:r>
    </w:p>
    <w:p>
      <w:pPr>
        <w:spacing w:line="540" w:lineRule="exact"/>
        <w:ind w:firstLine="480" w:firstLineChars="200"/>
        <w:jc w:val="left"/>
        <w:rPr>
          <w:rFonts w:ascii="宋体" w:hAnsi="宋体" w:cs="仿宋_GB2312"/>
          <w:sz w:val="24"/>
        </w:rPr>
      </w:pPr>
      <w:r>
        <w:rPr>
          <w:rFonts w:hint="eastAsia" w:ascii="宋体" w:hAnsi="宋体" w:cs="仿宋_GB2312"/>
          <w:sz w:val="24"/>
        </w:rPr>
        <w:t>以上企业，不属于大企业的分支机构，不存在控股股东为大企业的情形，也不存在与大企业的负责人为同一人的情形。</w:t>
      </w:r>
    </w:p>
    <w:p>
      <w:pPr>
        <w:spacing w:line="540" w:lineRule="exact"/>
        <w:ind w:firstLine="480" w:firstLineChars="200"/>
        <w:jc w:val="left"/>
        <w:rPr>
          <w:rFonts w:ascii="宋体" w:hAnsi="宋体" w:cs="仿宋_GB2312"/>
          <w:sz w:val="24"/>
        </w:rPr>
      </w:pPr>
      <w:r>
        <w:rPr>
          <w:rFonts w:hint="eastAsia" w:ascii="宋体" w:hAnsi="宋体" w:cs="仿宋_GB2312"/>
          <w:sz w:val="24"/>
        </w:rPr>
        <w:t>本企业对上述声明内容的真实性负责。如有虚假，将依法承担相应责任。</w:t>
      </w:r>
    </w:p>
    <w:p>
      <w:pPr>
        <w:spacing w:line="540" w:lineRule="exact"/>
        <w:ind w:right="420" w:firstLine="5880" w:firstLineChars="2450"/>
        <w:jc w:val="left"/>
        <w:rPr>
          <w:rFonts w:ascii="宋体" w:hAnsi="宋体" w:cs="仿宋_GB2312"/>
          <w:sz w:val="24"/>
        </w:rPr>
      </w:pPr>
    </w:p>
    <w:p>
      <w:pPr>
        <w:spacing w:line="540" w:lineRule="exact"/>
        <w:ind w:right="420" w:firstLine="5880" w:firstLineChars="2450"/>
        <w:rPr>
          <w:rFonts w:ascii="宋体" w:hAnsi="宋体" w:cs="仿宋_GB2312"/>
          <w:sz w:val="24"/>
        </w:rPr>
      </w:pPr>
      <w:r>
        <w:rPr>
          <w:rFonts w:hint="eastAsia" w:ascii="宋体" w:hAnsi="宋体" w:cs="仿宋_GB2312"/>
          <w:sz w:val="24"/>
        </w:rPr>
        <w:t xml:space="preserve">企业名称（盖章）： </w:t>
      </w:r>
    </w:p>
    <w:p>
      <w:pPr>
        <w:spacing w:line="540" w:lineRule="exact"/>
        <w:ind w:right="420" w:firstLine="5520" w:firstLineChars="2300"/>
        <w:rPr>
          <w:rFonts w:ascii="宋体" w:hAnsi="宋体"/>
        </w:rPr>
      </w:pPr>
      <w:r>
        <w:rPr>
          <w:rFonts w:hint="eastAsia" w:ascii="宋体" w:hAnsi="宋体" w:cs="仿宋_GB2312"/>
          <w:sz w:val="24"/>
        </w:rPr>
        <w:t xml:space="preserve">日期：   年     月 </w:t>
      </w:r>
      <w:r>
        <w:rPr>
          <w:rFonts w:hint="eastAsia" w:ascii="宋体" w:hAnsi="宋体"/>
        </w:rPr>
        <w:t xml:space="preserve">    日</w:t>
      </w:r>
    </w:p>
    <w:p>
      <w:pPr>
        <w:spacing w:line="540" w:lineRule="exact"/>
        <w:rPr>
          <w:rFonts w:ascii="宋体" w:hAnsi="宋体" w:cs="仿宋_GB2312"/>
          <w:sz w:val="24"/>
        </w:rPr>
      </w:pPr>
      <w:r>
        <w:rPr>
          <w:rFonts w:hint="eastAsia" w:ascii="宋体" w:hAnsi="宋体" w:cs="仿宋_GB2312"/>
          <w:sz w:val="24"/>
        </w:rPr>
        <w:t>注：</w:t>
      </w:r>
    </w:p>
    <w:p>
      <w:pPr>
        <w:spacing w:line="540" w:lineRule="exact"/>
        <w:rPr>
          <w:rFonts w:ascii="宋体" w:hAnsi="宋体"/>
          <w:b/>
          <w:sz w:val="24"/>
        </w:rPr>
      </w:pPr>
      <w:r>
        <w:rPr>
          <w:rFonts w:hint="eastAsia" w:ascii="宋体" w:hAnsi="宋体"/>
          <w:b/>
          <w:sz w:val="24"/>
        </w:rPr>
        <w:t>1、投标人提供的中小企业声明函与实际情况不符的，视为投标人提供虚假材料投标，投标无效。</w:t>
      </w:r>
    </w:p>
    <w:p>
      <w:pPr>
        <w:spacing w:line="540" w:lineRule="exact"/>
        <w:rPr>
          <w:rFonts w:hint="eastAsia" w:ascii="宋体" w:hAnsi="宋体" w:cs="仿宋_GB2312"/>
          <w:sz w:val="24"/>
        </w:rPr>
      </w:pPr>
      <w:r>
        <w:rPr>
          <w:rFonts w:hint="eastAsia" w:ascii="宋体" w:hAnsi="宋体"/>
          <w:b/>
          <w:sz w:val="24"/>
        </w:rPr>
        <w:t>2、根据《政府采购促进中小企业发展管理办法》的通知（财库〔2020〕46号）规定，</w:t>
      </w:r>
      <w:r>
        <w:rPr>
          <w:rFonts w:hint="eastAsia" w:ascii="宋体" w:hAnsi="宋体" w:cs="仿宋_GB2312"/>
          <w:sz w:val="24"/>
        </w:rPr>
        <w:t>中标、成交</w:t>
      </w:r>
      <w:r>
        <w:rPr>
          <w:rFonts w:hint="eastAsia" w:ascii="宋体" w:hAnsi="宋体" w:cs="仿宋_GB2312"/>
          <w:sz w:val="24"/>
          <w:lang w:eastAsia="zh-CN"/>
        </w:rPr>
        <w:t>投标单位</w:t>
      </w:r>
      <w:r>
        <w:rPr>
          <w:rFonts w:hint="eastAsia" w:ascii="宋体" w:hAnsi="宋体" w:cs="仿宋_GB2312"/>
          <w:sz w:val="24"/>
        </w:rPr>
        <w:t>享受中小企业扶持政策的，采购代理机构将随中标、成交结果公开中标、成交</w:t>
      </w:r>
      <w:r>
        <w:rPr>
          <w:rFonts w:hint="eastAsia" w:ascii="宋体" w:hAnsi="宋体" w:cs="仿宋_GB2312"/>
          <w:sz w:val="24"/>
          <w:lang w:eastAsia="zh-CN"/>
        </w:rPr>
        <w:t>投标单位</w:t>
      </w:r>
      <w:r>
        <w:rPr>
          <w:rFonts w:hint="eastAsia" w:ascii="宋体" w:hAnsi="宋体" w:cs="仿宋_GB2312"/>
          <w:sz w:val="24"/>
        </w:rPr>
        <w:t>的《中小企业声明函》。</w:t>
      </w:r>
    </w:p>
    <w:p>
      <w:pPr>
        <w:spacing w:line="540" w:lineRule="exact"/>
        <w:rPr>
          <w:rFonts w:ascii="宋体" w:hAnsi="宋体" w:cs="仿宋_GB2312"/>
          <w:sz w:val="24"/>
        </w:rPr>
      </w:pPr>
      <w:r>
        <w:rPr>
          <w:rFonts w:hint="eastAsia" w:ascii="宋体" w:hAnsi="宋体" w:cs="仿宋_GB2312"/>
          <w:sz w:val="24"/>
        </w:rPr>
        <w:t>3、符合《关于促进残疾人就业政府采购政策的通知》（财库〔2017〕141号）规定的条件并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pPr>
    </w:p>
    <w:p>
      <w:pPr>
        <w:spacing w:line="440" w:lineRule="exact"/>
        <w:rPr>
          <w:rFonts w:hint="eastAsia" w:ascii="宋体" w:hAnsi="宋体"/>
          <w:b/>
          <w:sz w:val="24"/>
        </w:rPr>
        <w:sectPr>
          <w:headerReference r:id="rId3" w:type="default"/>
          <w:footerReference r:id="rId4" w:type="default"/>
          <w:footerReference r:id="rId5" w:type="even"/>
          <w:pgSz w:w="11906" w:h="16838"/>
          <w:pgMar w:top="1440" w:right="1406" w:bottom="1246" w:left="1758" w:header="1021" w:footer="902" w:gutter="0"/>
          <w:cols w:space="720" w:num="1"/>
          <w:titlePg/>
          <w:docGrid w:type="lines" w:linePitch="312" w:charSpace="0"/>
        </w:sectPr>
      </w:pPr>
    </w:p>
    <w:p>
      <w:pPr>
        <w:spacing w:line="440" w:lineRule="exact"/>
        <w:rPr>
          <w:rFonts w:hint="eastAsia" w:ascii="宋体" w:hAnsi="宋体"/>
          <w:b/>
          <w:sz w:val="24"/>
        </w:rPr>
      </w:pPr>
      <w:r>
        <w:rPr>
          <w:rFonts w:hint="eastAsia" w:ascii="宋体" w:hAnsi="宋体"/>
          <w:b/>
          <w:sz w:val="24"/>
        </w:rPr>
        <w:t>附件</w:t>
      </w:r>
      <w:r>
        <w:rPr>
          <w:rFonts w:hint="eastAsia" w:ascii="宋体" w:hAnsi="宋体"/>
          <w:b/>
          <w:sz w:val="24"/>
          <w:lang w:val="en-US" w:eastAsia="zh-CN"/>
        </w:rPr>
        <w:t>7</w:t>
      </w:r>
      <w:r>
        <w:rPr>
          <w:rFonts w:hint="eastAsia" w:ascii="宋体" w:hAnsi="宋体"/>
          <w:b/>
          <w:sz w:val="24"/>
        </w:rPr>
        <w:t>：残疾人福利性单位声明函（放入“商务资料部分”）</w:t>
      </w:r>
    </w:p>
    <w:p>
      <w:pPr>
        <w:spacing w:line="440" w:lineRule="exact"/>
        <w:rPr>
          <w:rFonts w:hint="eastAsia" w:ascii="宋体" w:hAnsi="宋体"/>
          <w:b/>
          <w:sz w:val="24"/>
        </w:rPr>
      </w:pPr>
    </w:p>
    <w:p>
      <w:pPr>
        <w:spacing w:line="588" w:lineRule="exact"/>
        <w:ind w:firstLine="667"/>
        <w:jc w:val="center"/>
        <w:rPr>
          <w:rFonts w:ascii="宋体" w:hAnsi="宋体"/>
          <w:b/>
          <w:spacing w:val="6"/>
          <w:sz w:val="36"/>
          <w:szCs w:val="36"/>
        </w:rPr>
      </w:pPr>
      <w:r>
        <w:rPr>
          <w:rFonts w:hint="eastAsia" w:ascii="宋体" w:hAnsi="宋体"/>
          <w:b/>
          <w:spacing w:val="6"/>
          <w:sz w:val="36"/>
          <w:szCs w:val="36"/>
        </w:rPr>
        <w:t>残疾人福利性单位声明函</w:t>
      </w:r>
    </w:p>
    <w:p>
      <w:pPr>
        <w:spacing w:line="588" w:lineRule="exact"/>
        <w:ind w:firstLine="626"/>
        <w:rPr>
          <w:rFonts w:ascii="宋体" w:hAnsi="宋体"/>
          <w:b/>
          <w:spacing w:val="6"/>
          <w:sz w:val="30"/>
          <w:szCs w:val="30"/>
        </w:rPr>
      </w:pPr>
    </w:p>
    <w:p>
      <w:pPr>
        <w:spacing w:line="588" w:lineRule="exact"/>
        <w:ind w:firstLine="480"/>
        <w:rPr>
          <w:rFonts w:ascii="宋体" w:hAnsi="宋体" w:cs="仿宋_GB2312"/>
          <w:sz w:val="24"/>
        </w:rPr>
      </w:pPr>
      <w:r>
        <w:rPr>
          <w:rFonts w:hint="eastAsia" w:ascii="宋体" w:hAnsi="宋体" w:cs="仿宋_GB2312"/>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宋体" w:hAnsi="宋体" w:cs="仿宋_GB2312"/>
          <w:sz w:val="24"/>
        </w:rPr>
      </w:pPr>
      <w:r>
        <w:rPr>
          <w:rFonts w:hint="eastAsia" w:ascii="宋体" w:hAnsi="宋体" w:cs="仿宋_GB2312"/>
          <w:sz w:val="24"/>
        </w:rPr>
        <w:t>本单位对上述声明的真实性负责。如有虚假，将依法承担相应责任。</w:t>
      </w:r>
    </w:p>
    <w:p>
      <w:pPr>
        <w:spacing w:line="588" w:lineRule="exact"/>
        <w:ind w:firstLine="480"/>
        <w:rPr>
          <w:rFonts w:ascii="宋体" w:hAnsi="宋体" w:cs="仿宋_GB2312"/>
          <w:sz w:val="24"/>
        </w:rPr>
      </w:pPr>
    </w:p>
    <w:p>
      <w:pPr>
        <w:spacing w:line="588" w:lineRule="exact"/>
        <w:ind w:firstLine="480"/>
        <w:rPr>
          <w:rFonts w:ascii="宋体" w:hAnsi="宋体" w:cs="仿宋_GB2312"/>
          <w:sz w:val="24"/>
        </w:rPr>
      </w:pPr>
    </w:p>
    <w:p>
      <w:pPr>
        <w:spacing w:line="588" w:lineRule="exact"/>
        <w:ind w:firstLine="480"/>
        <w:rPr>
          <w:rFonts w:ascii="宋体" w:hAnsi="宋体" w:cs="仿宋_GB2312"/>
          <w:sz w:val="24"/>
        </w:rPr>
      </w:pPr>
    </w:p>
    <w:p>
      <w:pPr>
        <w:spacing w:line="588" w:lineRule="exact"/>
        <w:ind w:firstLine="480"/>
        <w:rPr>
          <w:rFonts w:ascii="宋体" w:hAnsi="宋体" w:cs="仿宋_GB2312"/>
          <w:sz w:val="24"/>
        </w:rPr>
      </w:pPr>
    </w:p>
    <w:p>
      <w:pPr>
        <w:spacing w:line="588" w:lineRule="exact"/>
        <w:ind w:firstLine="480"/>
        <w:rPr>
          <w:rFonts w:ascii="宋体" w:hAnsi="宋体" w:cs="仿宋_GB2312"/>
          <w:sz w:val="24"/>
        </w:rPr>
      </w:pPr>
    </w:p>
    <w:p>
      <w:pPr>
        <w:tabs>
          <w:tab w:val="left" w:pos="4860"/>
        </w:tabs>
        <w:spacing w:line="588" w:lineRule="exact"/>
        <w:ind w:right="1560" w:firstLine="480"/>
        <w:jc w:val="center"/>
        <w:rPr>
          <w:rFonts w:ascii="宋体" w:hAnsi="宋体" w:cs="仿宋_GB2312"/>
          <w:sz w:val="24"/>
        </w:rPr>
      </w:pPr>
      <w:r>
        <w:rPr>
          <w:rFonts w:hint="eastAsia" w:ascii="宋体" w:hAnsi="宋体" w:cs="仿宋_GB2312"/>
          <w:sz w:val="24"/>
        </w:rPr>
        <w:t xml:space="preserve">                              </w:t>
      </w:r>
      <w:r>
        <w:rPr>
          <w:rFonts w:hint="eastAsia" w:ascii="宋体" w:hAnsi="宋体"/>
          <w:sz w:val="24"/>
          <w:lang w:eastAsia="zh-CN"/>
        </w:rPr>
        <w:t>投标</w:t>
      </w:r>
      <w:r>
        <w:rPr>
          <w:rFonts w:hint="eastAsia" w:ascii="宋体" w:hAnsi="宋体" w:cs="仿宋_GB2312"/>
          <w:sz w:val="24"/>
        </w:rPr>
        <w:t>单位名称（盖章）：</w:t>
      </w:r>
    </w:p>
    <w:p>
      <w:pPr>
        <w:spacing w:line="480" w:lineRule="exact"/>
        <w:ind w:firstLine="480" w:firstLineChars="200"/>
        <w:jc w:val="right"/>
        <w:rPr>
          <w:rFonts w:ascii="宋体" w:hAnsi="宋体"/>
          <w:sz w:val="24"/>
        </w:rPr>
      </w:pPr>
      <w:r>
        <w:rPr>
          <w:rFonts w:hint="eastAsia" w:ascii="宋体" w:hAnsi="宋体"/>
          <w:sz w:val="24"/>
        </w:rPr>
        <w:t>日期：    年    月    日</w:t>
      </w:r>
    </w:p>
    <w:p>
      <w:pPr>
        <w:rPr>
          <w:rFonts w:ascii="宋体" w:hAnsi="宋体"/>
        </w:rPr>
      </w:pPr>
    </w:p>
    <w:p>
      <w:pPr>
        <w:spacing w:line="440" w:lineRule="exact"/>
        <w:rPr>
          <w:rFonts w:hint="eastAsia" w:ascii="宋体" w:hAnsi="宋体"/>
          <w:b/>
          <w:sz w:val="24"/>
        </w:rPr>
        <w:sectPr>
          <w:pgSz w:w="11906" w:h="16838"/>
          <w:pgMar w:top="1440" w:right="1406" w:bottom="1246" w:left="1758" w:header="1021" w:footer="902" w:gutter="0"/>
          <w:cols w:space="720" w:num="1"/>
          <w:titlePg/>
          <w:docGrid w:type="lines" w:linePitch="312" w:charSpace="0"/>
        </w:sectPr>
      </w:pPr>
    </w:p>
    <w:p>
      <w:pPr>
        <w:tabs>
          <w:tab w:val="left" w:pos="570"/>
        </w:tabs>
        <w:spacing w:line="360" w:lineRule="auto"/>
        <w:rPr>
          <w:rFonts w:ascii="宋体" w:hAnsi="宋体"/>
          <w:b/>
          <w:sz w:val="24"/>
        </w:rPr>
      </w:pPr>
      <w:r>
        <w:rPr>
          <w:rFonts w:hint="eastAsia" w:ascii="宋体" w:hAnsi="宋体"/>
          <w:b/>
          <w:sz w:val="24"/>
        </w:rPr>
        <w:t>附件</w:t>
      </w:r>
      <w:r>
        <w:rPr>
          <w:rFonts w:hint="eastAsia" w:ascii="宋体" w:hAnsi="宋体"/>
          <w:b/>
          <w:sz w:val="24"/>
          <w:lang w:val="en-US" w:eastAsia="zh-CN"/>
        </w:rPr>
        <w:t>8</w:t>
      </w:r>
      <w:r>
        <w:rPr>
          <w:rFonts w:hint="eastAsia" w:ascii="宋体" w:hAnsi="宋体"/>
          <w:b/>
          <w:sz w:val="24"/>
        </w:rPr>
        <w:t>：技术偏离表（格式）</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项目名称：</w:t>
      </w:r>
      <w:r>
        <w:rPr>
          <w:rFonts w:hint="eastAsia" w:ascii="宋体" w:hAnsi="宋体"/>
          <w:sz w:val="24"/>
          <w:u w:val="single"/>
        </w:rPr>
        <w:t xml:space="preserve">                                    </w:t>
      </w:r>
    </w:p>
    <w:p>
      <w:pPr>
        <w:snapToGrid w:val="0"/>
        <w:spacing w:line="360" w:lineRule="auto"/>
        <w:rPr>
          <w:rFonts w:hint="eastAsia" w:ascii="宋体" w:hAnsi="宋体"/>
          <w:sz w:val="24"/>
          <w:u w:val="single"/>
        </w:rPr>
      </w:pPr>
      <w:r>
        <w:rPr>
          <w:rFonts w:hint="eastAsia" w:ascii="宋体" w:hAnsi="宋体"/>
          <w:sz w:val="24"/>
        </w:rPr>
        <w:t>磋商编号：</w:t>
      </w:r>
      <w:r>
        <w:rPr>
          <w:rFonts w:hint="eastAsia" w:ascii="宋体" w:hAnsi="宋体"/>
          <w:sz w:val="24"/>
          <w:u w:val="single"/>
        </w:rPr>
        <w:t xml:space="preserve">                                      </w:t>
      </w:r>
    </w:p>
    <w:p>
      <w:pPr>
        <w:tabs>
          <w:tab w:val="left" w:pos="4905"/>
        </w:tabs>
        <w:spacing w:line="360" w:lineRule="auto"/>
        <w:rPr>
          <w:rFonts w:hint="eastAsia" w:ascii="宋体" w:hAnsi="宋体"/>
          <w:sz w:val="24"/>
        </w:rPr>
      </w:pPr>
    </w:p>
    <w:tbl>
      <w:tblPr>
        <w:tblStyle w:val="40"/>
        <w:tblW w:w="88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597"/>
        <w:gridCol w:w="14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vAlign w:val="top"/>
          </w:tcPr>
          <w:p>
            <w:pPr>
              <w:tabs>
                <w:tab w:val="left" w:pos="4905"/>
              </w:tabs>
              <w:spacing w:line="360" w:lineRule="auto"/>
              <w:jc w:val="center"/>
              <w:rPr>
                <w:rFonts w:ascii="宋体" w:hAnsi="宋体"/>
                <w:sz w:val="24"/>
              </w:rPr>
            </w:pPr>
            <w:r>
              <w:rPr>
                <w:rFonts w:hint="eastAsia" w:ascii="宋体" w:hAnsi="宋体"/>
                <w:sz w:val="24"/>
              </w:rPr>
              <w:t>序号</w:t>
            </w:r>
          </w:p>
        </w:tc>
        <w:tc>
          <w:tcPr>
            <w:tcW w:w="3087" w:type="dxa"/>
            <w:tcBorders>
              <w:top w:val="single" w:color="auto" w:sz="4" w:space="0"/>
              <w:left w:val="single" w:color="auto" w:sz="4" w:space="0"/>
              <w:bottom w:val="single" w:color="auto" w:sz="4" w:space="0"/>
              <w:right w:val="single" w:color="auto" w:sz="4" w:space="0"/>
            </w:tcBorders>
            <w:vAlign w:val="top"/>
          </w:tcPr>
          <w:p>
            <w:pPr>
              <w:tabs>
                <w:tab w:val="left" w:pos="4905"/>
              </w:tabs>
              <w:spacing w:line="360" w:lineRule="auto"/>
              <w:jc w:val="center"/>
              <w:rPr>
                <w:rFonts w:ascii="宋体" w:hAnsi="宋体"/>
                <w:sz w:val="24"/>
              </w:rPr>
            </w:pPr>
            <w:r>
              <w:rPr>
                <w:rFonts w:hint="eastAsia" w:ascii="宋体" w:hAnsi="宋体"/>
                <w:sz w:val="24"/>
              </w:rPr>
              <w:t>磋商文件要求</w:t>
            </w:r>
          </w:p>
        </w:tc>
        <w:tc>
          <w:tcPr>
            <w:tcW w:w="3597" w:type="dxa"/>
            <w:tcBorders>
              <w:top w:val="single" w:color="auto" w:sz="4" w:space="0"/>
              <w:left w:val="single" w:color="auto" w:sz="4" w:space="0"/>
              <w:bottom w:val="single" w:color="auto" w:sz="4" w:space="0"/>
              <w:right w:val="single" w:color="auto" w:sz="4" w:space="0"/>
            </w:tcBorders>
            <w:vAlign w:val="top"/>
          </w:tcPr>
          <w:p>
            <w:pPr>
              <w:tabs>
                <w:tab w:val="left" w:pos="4905"/>
              </w:tabs>
              <w:spacing w:line="360" w:lineRule="auto"/>
              <w:jc w:val="center"/>
              <w:rPr>
                <w:rFonts w:ascii="宋体" w:hAnsi="宋体"/>
                <w:sz w:val="24"/>
              </w:rPr>
            </w:pPr>
            <w:r>
              <w:rPr>
                <w:rFonts w:hint="eastAsia" w:ascii="宋体" w:hAnsi="宋体"/>
                <w:sz w:val="24"/>
              </w:rPr>
              <w:t>磋商响应</w:t>
            </w:r>
          </w:p>
        </w:tc>
        <w:tc>
          <w:tcPr>
            <w:tcW w:w="1479" w:type="dxa"/>
            <w:tcBorders>
              <w:top w:val="single" w:color="auto" w:sz="4" w:space="0"/>
              <w:left w:val="single" w:color="auto" w:sz="4" w:space="0"/>
              <w:bottom w:val="single" w:color="auto" w:sz="4" w:space="0"/>
              <w:right w:val="single" w:color="auto" w:sz="4" w:space="0"/>
            </w:tcBorders>
            <w:vAlign w:val="top"/>
          </w:tcPr>
          <w:p>
            <w:pPr>
              <w:tabs>
                <w:tab w:val="left" w:pos="4905"/>
              </w:tabs>
              <w:spacing w:line="360" w:lineRule="auto"/>
              <w:jc w:val="center"/>
              <w:rPr>
                <w:rFonts w:ascii="宋体" w:hAnsi="宋体"/>
                <w:sz w:val="24"/>
              </w:rPr>
            </w:pPr>
            <w:r>
              <w:rPr>
                <w:rFonts w:hint="eastAsia" w:ascii="宋体" w:hAnsi="宋体"/>
                <w:sz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磋商文件技术要求</w:t>
            </w:r>
          </w:p>
          <w:p>
            <w:pPr>
              <w:tabs>
                <w:tab w:val="left" w:pos="4905"/>
              </w:tabs>
              <w:spacing w:line="360" w:lineRule="auto"/>
              <w:rPr>
                <w:rFonts w:ascii="宋体" w:hAnsi="宋体"/>
                <w:sz w:val="24"/>
              </w:rPr>
            </w:pPr>
            <w:r>
              <w:rPr>
                <w:rFonts w:hint="eastAsia" w:ascii="宋体" w:hAnsi="宋体"/>
                <w:sz w:val="24"/>
              </w:rPr>
              <w:t>(根据标内要求复制)</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请填写</w:t>
            </w:r>
            <w:r>
              <w:rPr>
                <w:rFonts w:hint="eastAsia" w:ascii="宋体" w:hAnsi="宋体" w:cs="宋体"/>
                <w:sz w:val="24"/>
              </w:rPr>
              <w:t>磋商响应产品</w:t>
            </w:r>
            <w:r>
              <w:rPr>
                <w:rFonts w:hint="eastAsia" w:ascii="宋体" w:hAnsi="宋体"/>
                <w:sz w:val="24"/>
              </w:rPr>
              <w:t>技术指标对应详细描述</w:t>
            </w: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Cs w:val="21"/>
              </w:rPr>
              <w:t>（正偏离、负偏离、无偏离）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可自行添加行</w:t>
            </w: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详细参数可自行加行</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请填写</w:t>
            </w:r>
            <w:r>
              <w:rPr>
                <w:rFonts w:hint="eastAsia" w:ascii="宋体" w:hAnsi="宋体"/>
                <w:sz w:val="24"/>
                <w:lang w:eastAsia="zh-CN"/>
              </w:rPr>
              <w:t>人员配备</w:t>
            </w:r>
            <w:r>
              <w:rPr>
                <w:rFonts w:hint="eastAsia" w:ascii="宋体" w:hAnsi="宋体"/>
                <w:sz w:val="24"/>
              </w:rPr>
              <w:t>要求</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hint="eastAsia" w:ascii="宋体" w:hAnsi="宋体"/>
                <w:sz w:val="24"/>
              </w:rPr>
            </w:pPr>
            <w:r>
              <w:rPr>
                <w:rFonts w:hint="eastAsia" w:ascii="宋体" w:hAnsi="宋体"/>
                <w:sz w:val="24"/>
              </w:rPr>
              <w:t>请填写服务期要求</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请填写</w:t>
            </w:r>
            <w:r>
              <w:rPr>
                <w:rFonts w:hint="eastAsia" w:ascii="宋体" w:hAnsi="宋体"/>
                <w:sz w:val="24"/>
                <w:lang w:eastAsia="zh-CN"/>
              </w:rPr>
              <w:t>服务承诺</w:t>
            </w:r>
            <w:r>
              <w:rPr>
                <w:rFonts w:hint="eastAsia" w:ascii="宋体" w:hAnsi="宋体"/>
                <w:sz w:val="24"/>
              </w:rPr>
              <w:t>(如有)</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请填写付款方式要求</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r>
              <w:rPr>
                <w:rFonts w:hint="eastAsia" w:ascii="宋体" w:hAnsi="宋体"/>
                <w:sz w:val="24"/>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r>
              <w:rPr>
                <w:rFonts w:hint="eastAsia" w:ascii="宋体" w:hAnsi="宋体"/>
                <w:sz w:val="24"/>
              </w:rPr>
              <w:t>…</w:t>
            </w:r>
          </w:p>
        </w:tc>
        <w:tc>
          <w:tcPr>
            <w:tcW w:w="359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rPr>
                <w:rFonts w:ascii="宋体" w:hAnsi="宋体"/>
                <w:sz w:val="24"/>
              </w:rPr>
            </w:pPr>
          </w:p>
        </w:tc>
        <w:tc>
          <w:tcPr>
            <w:tcW w:w="1479"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360" w:lineRule="auto"/>
              <w:jc w:val="center"/>
              <w:rPr>
                <w:rFonts w:ascii="宋体" w:hAnsi="宋体"/>
                <w:sz w:val="24"/>
              </w:rPr>
            </w:pPr>
          </w:p>
        </w:tc>
      </w:tr>
    </w:tbl>
    <w:p>
      <w:pPr>
        <w:tabs>
          <w:tab w:val="left" w:pos="570"/>
        </w:tabs>
        <w:spacing w:line="360" w:lineRule="auto"/>
        <w:ind w:firstLine="120" w:firstLineChars="50"/>
        <w:jc w:val="left"/>
        <w:rPr>
          <w:rFonts w:hint="eastAsia" w:ascii="宋体" w:hAnsi="宋体"/>
          <w:sz w:val="24"/>
        </w:rPr>
      </w:pPr>
      <w:r>
        <w:rPr>
          <w:rFonts w:hint="eastAsia" w:ascii="宋体" w:hAnsi="宋体"/>
          <w:sz w:val="24"/>
        </w:rPr>
        <w:t>注：1.此表须与</w:t>
      </w:r>
      <w:r>
        <w:rPr>
          <w:rFonts w:hint="eastAsia" w:ascii="宋体" w:hAnsi="宋体"/>
          <w:kern w:val="0"/>
          <w:sz w:val="24"/>
        </w:rPr>
        <w:t>磋商文件“</w:t>
      </w:r>
      <w:r>
        <w:rPr>
          <w:rFonts w:hint="eastAsia" w:ascii="宋体" w:hAnsi="宋体"/>
          <w:sz w:val="24"/>
        </w:rPr>
        <w:t>磋商项目说明及要求</w:t>
      </w:r>
      <w:r>
        <w:rPr>
          <w:rFonts w:hint="eastAsia" w:ascii="宋体" w:hAnsi="宋体"/>
          <w:kern w:val="0"/>
          <w:sz w:val="24"/>
        </w:rPr>
        <w:t>”</w:t>
      </w:r>
      <w:r>
        <w:rPr>
          <w:rFonts w:hint="eastAsia" w:ascii="宋体" w:hAnsi="宋体"/>
          <w:sz w:val="24"/>
        </w:rPr>
        <w:t>相应标项内的所有技术规格相比较且一一对应</w:t>
      </w:r>
      <w:r>
        <w:rPr>
          <w:rFonts w:hint="eastAsia" w:ascii="宋体" w:hAnsi="宋体" w:cs="宋体"/>
          <w:sz w:val="24"/>
        </w:rPr>
        <w:t>真实逐条</w:t>
      </w:r>
      <w:r>
        <w:rPr>
          <w:rFonts w:hint="eastAsia" w:ascii="宋体" w:hAnsi="宋体"/>
          <w:sz w:val="24"/>
        </w:rPr>
        <w:t>填列。</w:t>
      </w:r>
    </w:p>
    <w:p>
      <w:pPr>
        <w:tabs>
          <w:tab w:val="left" w:pos="570"/>
        </w:tabs>
        <w:spacing w:line="360" w:lineRule="auto"/>
        <w:jc w:val="left"/>
        <w:rPr>
          <w:rFonts w:hint="eastAsia" w:ascii="宋体" w:hAnsi="宋体"/>
          <w:sz w:val="24"/>
        </w:rPr>
      </w:pPr>
      <w:r>
        <w:rPr>
          <w:rFonts w:hint="eastAsia" w:ascii="宋体" w:hAnsi="宋体"/>
          <w:sz w:val="24"/>
        </w:rPr>
        <w:t>2、</w:t>
      </w:r>
      <w:r>
        <w:rPr>
          <w:rFonts w:hint="eastAsia" w:ascii="宋体" w:hAnsi="宋体" w:cs="宋体"/>
          <w:sz w:val="24"/>
          <w:lang w:eastAsia="zh-CN"/>
        </w:rPr>
        <w:t>投标单位</w:t>
      </w:r>
      <w:r>
        <w:rPr>
          <w:rFonts w:hint="eastAsia" w:ascii="宋体" w:hAnsi="宋体" w:cs="宋体"/>
          <w:sz w:val="24"/>
        </w:rPr>
        <w:t>递交的技术规格书中必须真实逐条列明，否则由</w:t>
      </w:r>
      <w:r>
        <w:rPr>
          <w:rFonts w:hint="eastAsia" w:ascii="宋体" w:hAnsi="宋体" w:cs="宋体"/>
          <w:sz w:val="24"/>
          <w:lang w:eastAsia="zh-CN"/>
        </w:rPr>
        <w:t>投标单位</w:t>
      </w:r>
      <w:r>
        <w:rPr>
          <w:rFonts w:hint="eastAsia" w:ascii="宋体" w:hAnsi="宋体" w:cs="宋体"/>
          <w:sz w:val="24"/>
        </w:rPr>
        <w:t>自行承担相关风险。</w:t>
      </w:r>
    </w:p>
    <w:p>
      <w:pPr>
        <w:spacing w:line="360" w:lineRule="auto"/>
        <w:ind w:left="-210" w:leftChars="-100" w:firstLine="120" w:firstLineChars="50"/>
        <w:rPr>
          <w:rFonts w:hint="eastAsia" w:ascii="宋体" w:hAnsi="宋体"/>
          <w:sz w:val="24"/>
        </w:rPr>
      </w:pPr>
    </w:p>
    <w:p>
      <w:pPr>
        <w:spacing w:line="360" w:lineRule="auto"/>
        <w:ind w:left="-210" w:leftChars="-100" w:firstLine="120" w:firstLineChars="50"/>
        <w:rPr>
          <w:rFonts w:hint="eastAsia" w:ascii="宋体" w:hAnsi="宋体"/>
          <w:sz w:val="24"/>
        </w:rPr>
      </w:pPr>
      <w:r>
        <w:rPr>
          <w:rFonts w:hint="eastAsia" w:ascii="宋体" w:hAnsi="宋体"/>
          <w:sz w:val="24"/>
          <w:lang w:eastAsia="zh-CN"/>
        </w:rPr>
        <w:t>投标单位</w:t>
      </w:r>
      <w:r>
        <w:rPr>
          <w:rFonts w:hint="eastAsia" w:ascii="宋体" w:hAnsi="宋体"/>
          <w:sz w:val="24"/>
        </w:rPr>
        <w:t>名称（盖章）：</w:t>
      </w:r>
    </w:p>
    <w:p>
      <w:pPr>
        <w:spacing w:line="360" w:lineRule="auto"/>
        <w:ind w:left="-210" w:leftChars="-100" w:firstLine="120" w:firstLineChars="50"/>
        <w:jc w:val="left"/>
        <w:rPr>
          <w:rFonts w:hint="eastAsia" w:ascii="宋体" w:hAnsi="宋体"/>
          <w:sz w:val="24"/>
        </w:rPr>
      </w:pPr>
    </w:p>
    <w:p>
      <w:pPr>
        <w:spacing w:line="360" w:lineRule="auto"/>
        <w:ind w:left="-210" w:leftChars="-100" w:firstLine="120" w:firstLineChars="50"/>
        <w:jc w:val="left"/>
        <w:rPr>
          <w:rFonts w:hint="eastAsia" w:ascii="宋体" w:hAnsi="宋体"/>
          <w:sz w:val="24"/>
        </w:rPr>
      </w:pPr>
      <w:r>
        <w:rPr>
          <w:rFonts w:hint="eastAsia" w:ascii="宋体" w:hAnsi="宋体"/>
          <w:sz w:val="24"/>
        </w:rPr>
        <w:t xml:space="preserve">法定代表人或其授权代表（签字或盖章）：                                      </w:t>
      </w: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rPr>
        <w:t xml:space="preserve">                                              日期：    年   月   日</w:t>
      </w:r>
    </w:p>
    <w:p>
      <w:pPr>
        <w:spacing w:line="360" w:lineRule="auto"/>
        <w:rPr>
          <w:rFonts w:hint="eastAsia" w:ascii="宋体" w:hAnsi="宋体"/>
          <w:b/>
          <w:sz w:val="24"/>
        </w:rPr>
      </w:pPr>
    </w:p>
    <w:p>
      <w:pPr>
        <w:spacing w:line="360" w:lineRule="auto"/>
        <w:rPr>
          <w:rFonts w:hint="eastAsia" w:ascii="宋体" w:hAnsi="宋体"/>
          <w:b/>
          <w:sz w:val="24"/>
        </w:rPr>
      </w:pPr>
    </w:p>
    <w:p>
      <w:pPr>
        <w:spacing w:line="360" w:lineRule="auto"/>
        <w:ind w:left="-2" w:leftChars="-72" w:right="-817" w:rightChars="-389" w:hanging="149" w:hangingChars="62"/>
        <w:rPr>
          <w:rFonts w:hint="eastAsia" w:ascii="宋体" w:hAnsi="宋体"/>
          <w:b/>
          <w:sz w:val="24"/>
        </w:rPr>
      </w:pPr>
    </w:p>
    <w:p>
      <w:pPr>
        <w:spacing w:line="360" w:lineRule="auto"/>
        <w:rPr>
          <w:rFonts w:hint="eastAsia" w:ascii="宋体" w:hAnsi="宋体"/>
          <w:b/>
          <w:sz w:val="24"/>
        </w:rPr>
      </w:pPr>
      <w:r>
        <w:rPr>
          <w:rFonts w:hint="eastAsia" w:ascii="宋体" w:hAnsi="宋体"/>
          <w:b/>
          <w:sz w:val="24"/>
        </w:rPr>
        <w:t>附件</w:t>
      </w:r>
      <w:r>
        <w:rPr>
          <w:rFonts w:hint="eastAsia" w:ascii="宋体" w:hAnsi="宋体"/>
          <w:b/>
          <w:sz w:val="24"/>
          <w:lang w:val="en-US" w:eastAsia="zh-CN"/>
        </w:rPr>
        <w:t>9</w:t>
      </w:r>
      <w:r>
        <w:rPr>
          <w:rFonts w:hint="eastAsia" w:ascii="宋体" w:hAnsi="宋体"/>
          <w:b/>
          <w:sz w:val="24"/>
        </w:rPr>
        <w:t>：磋商响应承诺书(格式)</w:t>
      </w:r>
    </w:p>
    <w:p>
      <w:pPr>
        <w:spacing w:line="360" w:lineRule="auto"/>
        <w:jc w:val="center"/>
        <w:rPr>
          <w:rFonts w:hint="eastAsia" w:ascii="宋体" w:hAnsi="宋体"/>
          <w:b/>
          <w:sz w:val="24"/>
        </w:rPr>
      </w:pPr>
    </w:p>
    <w:p>
      <w:pPr>
        <w:spacing w:line="360" w:lineRule="auto"/>
        <w:jc w:val="left"/>
        <w:rPr>
          <w:rFonts w:hint="eastAsia" w:ascii="宋体" w:hAnsi="宋体"/>
          <w:sz w:val="24"/>
          <w:u w:val="single"/>
        </w:rPr>
      </w:pPr>
      <w:r>
        <w:rPr>
          <w:rFonts w:hint="eastAsia" w:ascii="宋体" w:hAnsi="宋体"/>
          <w:sz w:val="24"/>
        </w:rPr>
        <w:t xml:space="preserve">     针对本磋商项目,我公司郑重承诺:</w:t>
      </w:r>
      <w:r>
        <w:rPr>
          <w:rFonts w:hint="eastAsia" w:ascii="宋体" w:hAnsi="宋体" w:cs="仿宋_GB2312"/>
          <w:kern w:val="0"/>
          <w:sz w:val="24"/>
          <w:lang w:val="zh-CN"/>
        </w:rPr>
        <w:t xml:space="preserve"> 本单位自愿参加</w:t>
      </w:r>
      <w:r>
        <w:rPr>
          <w:rFonts w:hint="eastAsia" w:ascii="宋体" w:hAnsi="宋体"/>
          <w:sz w:val="24"/>
          <w:u w:val="single"/>
          <w:lang w:eastAsia="zh-CN"/>
        </w:rPr>
        <w:t>绍兴市发展和改革委员会下属单位财务外包服务项目</w:t>
      </w:r>
      <w:r>
        <w:rPr>
          <w:rFonts w:hint="eastAsia" w:ascii="宋体" w:hAnsi="宋体"/>
          <w:sz w:val="24"/>
          <w:u w:val="single"/>
        </w:rPr>
        <w:t>（</w:t>
      </w:r>
      <w:r>
        <w:rPr>
          <w:rFonts w:hint="eastAsia" w:ascii="宋体" w:hAnsi="宋体" w:cs="仿宋_GB2312"/>
          <w:kern w:val="0"/>
          <w:sz w:val="24"/>
          <w:lang w:val="zh-CN"/>
        </w:rPr>
        <w:t>磋商编号：</w:t>
      </w:r>
      <w:r>
        <w:rPr>
          <w:rFonts w:hint="eastAsia" w:ascii="宋体" w:hAnsi="宋体" w:cs="仿宋_GB2312"/>
          <w:kern w:val="0"/>
          <w:sz w:val="24"/>
          <w:lang w:val="en-US" w:eastAsia="zh-CN"/>
        </w:rPr>
        <w:t>SXCG2021TY020</w:t>
      </w:r>
      <w:r>
        <w:rPr>
          <w:rFonts w:hint="eastAsia" w:ascii="宋体" w:hAnsi="宋体" w:cs="仿宋_GB2312"/>
          <w:kern w:val="0"/>
          <w:sz w:val="24"/>
          <w:lang w:val="zh-CN"/>
        </w:rPr>
        <w:t>）政府采购的磋商谈判。</w:t>
      </w:r>
    </w:p>
    <w:p>
      <w:pPr>
        <w:spacing w:line="360" w:lineRule="auto"/>
        <w:ind w:firstLine="480" w:firstLineChars="200"/>
        <w:rPr>
          <w:rFonts w:ascii="宋体" w:hAnsi="宋体"/>
          <w:sz w:val="24"/>
        </w:rPr>
      </w:pPr>
      <w:r>
        <w:rPr>
          <w:rFonts w:hint="eastAsia" w:ascii="宋体" w:hAnsi="宋体" w:cs="仿宋_GB2312"/>
          <w:kern w:val="0"/>
          <w:sz w:val="24"/>
          <w:lang w:val="zh-CN"/>
        </w:rPr>
        <w:t>1、本公司承诺参加此次政府采购活动近三年，在经营活动中没有重大违法记录。</w:t>
      </w:r>
    </w:p>
    <w:p>
      <w:pPr>
        <w:spacing w:line="360" w:lineRule="auto"/>
        <w:ind w:firstLine="480" w:firstLineChars="200"/>
        <w:rPr>
          <w:rFonts w:hint="eastAsia" w:ascii="宋体" w:hAnsi="宋体"/>
          <w:sz w:val="24"/>
        </w:rPr>
      </w:pPr>
      <w:r>
        <w:rPr>
          <w:rFonts w:hint="eastAsia" w:ascii="宋体" w:hAnsi="宋体"/>
          <w:sz w:val="24"/>
        </w:rPr>
        <w:t>2、本公司所磋商响应项填列的技术参数、配置、服务、数量等相关内容都是真实、准确的。</w:t>
      </w:r>
    </w:p>
    <w:p>
      <w:pPr>
        <w:spacing w:line="360" w:lineRule="auto"/>
        <w:ind w:left="540" w:leftChars="257"/>
        <w:rPr>
          <w:rFonts w:hint="eastAsia" w:ascii="宋体" w:hAnsi="宋体"/>
          <w:sz w:val="24"/>
        </w:rPr>
      </w:pPr>
      <w:r>
        <w:rPr>
          <w:rFonts w:hint="eastAsia" w:ascii="宋体" w:hAnsi="宋体"/>
          <w:sz w:val="24"/>
        </w:rPr>
        <w:t>3、本公司保证在本次磋商项目中所提供的资料全部真实和合法。</w:t>
      </w:r>
    </w:p>
    <w:p>
      <w:pPr>
        <w:spacing w:line="360" w:lineRule="auto"/>
        <w:ind w:left="540" w:leftChars="257"/>
        <w:rPr>
          <w:rFonts w:hint="eastAsia" w:ascii="宋体" w:hAnsi="宋体"/>
          <w:sz w:val="24"/>
        </w:rPr>
      </w:pPr>
      <w:r>
        <w:rPr>
          <w:rFonts w:hint="eastAsia" w:ascii="宋体" w:hAnsi="宋体"/>
          <w:sz w:val="24"/>
        </w:rPr>
        <w:t>4、本公司保证绝不采取不正当手段诋毁排挤其他</w:t>
      </w:r>
      <w:r>
        <w:rPr>
          <w:rFonts w:hint="eastAsia" w:ascii="宋体" w:hAnsi="宋体"/>
          <w:sz w:val="24"/>
          <w:lang w:eastAsia="zh-CN"/>
        </w:rPr>
        <w:t>投标单位</w:t>
      </w:r>
      <w:r>
        <w:rPr>
          <w:rFonts w:hint="eastAsia" w:ascii="宋体" w:hAnsi="宋体"/>
          <w:sz w:val="24"/>
        </w:rPr>
        <w:t>。</w:t>
      </w:r>
    </w:p>
    <w:p>
      <w:pPr>
        <w:spacing w:line="360" w:lineRule="auto"/>
        <w:ind w:firstLine="540" w:firstLineChars="225"/>
        <w:rPr>
          <w:rFonts w:hint="eastAsia" w:ascii="宋体" w:hAnsi="宋体"/>
          <w:sz w:val="24"/>
        </w:rPr>
      </w:pPr>
      <w:r>
        <w:rPr>
          <w:rFonts w:hint="eastAsia" w:ascii="宋体" w:hAnsi="宋体"/>
          <w:sz w:val="24"/>
        </w:rPr>
        <w:t>5、本公司保证绝不向采购单位有关工作人员提供不正当利益,以影响采购结果的公正性。</w:t>
      </w:r>
    </w:p>
    <w:p>
      <w:pPr>
        <w:autoSpaceDE w:val="0"/>
        <w:autoSpaceDN w:val="0"/>
        <w:adjustRightInd w:val="0"/>
        <w:spacing w:line="360" w:lineRule="auto"/>
        <w:ind w:firstLine="480"/>
        <w:rPr>
          <w:rFonts w:hint="eastAsia" w:ascii="宋体" w:hAnsi="宋体"/>
          <w:kern w:val="0"/>
          <w:sz w:val="24"/>
        </w:rPr>
      </w:pPr>
      <w:r>
        <w:rPr>
          <w:rFonts w:hint="eastAsia" w:ascii="宋体" w:hAnsi="宋体" w:cs="仿宋_GB2312"/>
          <w:kern w:val="0"/>
          <w:sz w:val="24"/>
          <w:lang w:val="zh-CN"/>
        </w:rPr>
        <w:t>6、同意此次磋商文件中的各项内容。</w:t>
      </w:r>
    </w:p>
    <w:p>
      <w:pPr>
        <w:autoSpaceDE w:val="0"/>
        <w:autoSpaceDN w:val="0"/>
        <w:adjustRightInd w:val="0"/>
        <w:spacing w:line="360" w:lineRule="auto"/>
        <w:ind w:firstLine="480"/>
        <w:rPr>
          <w:rFonts w:hint="eastAsia" w:ascii="宋体" w:hAnsi="宋体"/>
          <w:kern w:val="0"/>
          <w:sz w:val="24"/>
        </w:rPr>
      </w:pPr>
      <w:r>
        <w:rPr>
          <w:rFonts w:hint="eastAsia" w:ascii="宋体" w:hAnsi="宋体" w:cs="仿宋_GB2312"/>
          <w:kern w:val="0"/>
          <w:sz w:val="24"/>
        </w:rPr>
        <w:t>7、</w:t>
      </w:r>
      <w:r>
        <w:rPr>
          <w:rFonts w:hint="eastAsia" w:ascii="宋体" w:hAnsi="宋体" w:cs="仿宋_GB2312"/>
          <w:kern w:val="0"/>
          <w:sz w:val="24"/>
          <w:lang w:val="zh-CN"/>
        </w:rPr>
        <w:t>同意提供按照贵方可能要求的与磋商响应有关的一切数据或资料等。</w:t>
      </w:r>
    </w:p>
    <w:p>
      <w:pPr>
        <w:autoSpaceDE w:val="0"/>
        <w:autoSpaceDN w:val="0"/>
        <w:adjustRightInd w:val="0"/>
        <w:spacing w:line="360" w:lineRule="auto"/>
        <w:ind w:firstLine="480"/>
        <w:rPr>
          <w:rFonts w:hint="eastAsia" w:ascii="宋体" w:hAnsi="宋体"/>
          <w:kern w:val="0"/>
          <w:sz w:val="24"/>
        </w:rPr>
      </w:pPr>
      <w:r>
        <w:rPr>
          <w:rFonts w:hint="eastAsia" w:ascii="宋体" w:hAnsi="宋体" w:cs="仿宋_GB2312"/>
          <w:kern w:val="0"/>
          <w:sz w:val="24"/>
        </w:rPr>
        <w:t>8、</w:t>
      </w:r>
      <w:r>
        <w:rPr>
          <w:rFonts w:hint="eastAsia" w:ascii="宋体" w:hAnsi="宋体" w:cs="仿宋_GB2312"/>
          <w:kern w:val="0"/>
          <w:sz w:val="24"/>
          <w:lang w:val="zh-CN"/>
        </w:rPr>
        <w:t>本单位如中标，保证按照磋商响应文件的承诺与贵方签订合同。</w:t>
      </w:r>
    </w:p>
    <w:p>
      <w:pPr>
        <w:spacing w:line="360" w:lineRule="auto"/>
        <w:ind w:firstLine="360" w:firstLineChars="150"/>
        <w:rPr>
          <w:rFonts w:hint="eastAsia" w:ascii="宋体" w:hAnsi="宋体"/>
          <w:sz w:val="28"/>
          <w:szCs w:val="28"/>
          <w:u w:val="single"/>
        </w:rPr>
      </w:pPr>
      <w:r>
        <w:rPr>
          <w:rFonts w:hint="eastAsia" w:ascii="宋体" w:hAnsi="宋体"/>
          <w:sz w:val="24"/>
        </w:rPr>
        <w:t>如有违反以上承诺,本公司愿意接受采购人、采购代理机构或磋商小组对磋商响应文件作无效的处理,并承担相关的一切责任及后果。</w:t>
      </w:r>
    </w:p>
    <w:p>
      <w:pPr>
        <w:spacing w:line="360" w:lineRule="auto"/>
        <w:rPr>
          <w:rFonts w:hint="eastAsia" w:ascii="宋体" w:hAnsi="宋体"/>
          <w:sz w:val="28"/>
          <w:szCs w:val="28"/>
          <w:u w:val="single"/>
        </w:rPr>
      </w:pPr>
    </w:p>
    <w:p>
      <w:pPr>
        <w:spacing w:line="360" w:lineRule="auto"/>
        <w:rPr>
          <w:rFonts w:hint="eastAsia" w:ascii="宋体" w:hAnsi="宋体"/>
          <w:sz w:val="28"/>
          <w:szCs w:val="28"/>
          <w:u w:val="single"/>
        </w:rPr>
      </w:pPr>
    </w:p>
    <w:p>
      <w:pPr>
        <w:spacing w:line="360" w:lineRule="auto"/>
        <w:rPr>
          <w:rFonts w:hint="eastAsia" w:ascii="宋体" w:hAnsi="宋体"/>
          <w:sz w:val="24"/>
        </w:rPr>
      </w:pPr>
    </w:p>
    <w:p>
      <w:pPr>
        <w:spacing w:line="360" w:lineRule="auto"/>
        <w:rPr>
          <w:rFonts w:hint="eastAsia" w:ascii="宋体" w:hAnsi="宋体"/>
          <w:sz w:val="24"/>
        </w:rPr>
      </w:pPr>
      <w:r>
        <w:rPr>
          <w:rFonts w:hint="eastAsia" w:ascii="宋体" w:hAnsi="宋体"/>
          <w:sz w:val="24"/>
          <w:lang w:eastAsia="zh-CN"/>
        </w:rPr>
        <w:t>投标单位</w:t>
      </w:r>
      <w:r>
        <w:rPr>
          <w:rFonts w:hint="eastAsia" w:ascii="宋体" w:hAnsi="宋体"/>
          <w:sz w:val="24"/>
        </w:rPr>
        <w:t>名称（盖章）：</w:t>
      </w:r>
    </w:p>
    <w:p>
      <w:pPr>
        <w:spacing w:line="360" w:lineRule="auto"/>
        <w:rPr>
          <w:rFonts w:hint="eastAsia" w:ascii="宋体" w:hAnsi="宋体"/>
          <w:sz w:val="24"/>
        </w:rPr>
      </w:pPr>
      <w:r>
        <w:rPr>
          <w:rFonts w:hint="eastAsia" w:ascii="宋体" w:hAnsi="宋体"/>
          <w:sz w:val="24"/>
        </w:rPr>
        <w:t xml:space="preserve">法定代表人或其授权代表（签字或盖章）： </w:t>
      </w:r>
    </w:p>
    <w:p>
      <w:pPr>
        <w:spacing w:line="360" w:lineRule="auto"/>
        <w:ind w:firstLine="6720" w:firstLineChars="2800"/>
        <w:rPr>
          <w:rFonts w:hint="eastAsia" w:ascii="宋体" w:hAnsi="宋体"/>
          <w:sz w:val="24"/>
        </w:rPr>
      </w:pPr>
      <w:r>
        <w:rPr>
          <w:rFonts w:hint="eastAsia" w:ascii="宋体" w:hAnsi="宋体"/>
          <w:sz w:val="24"/>
        </w:rPr>
        <w:t>年   月   日</w:t>
      </w:r>
    </w:p>
    <w:p>
      <w:pPr>
        <w:spacing w:line="360" w:lineRule="auto"/>
        <w:rPr>
          <w:rFonts w:hint="eastAsia" w:ascii="宋体" w:hAnsi="宋体"/>
        </w:rPr>
      </w:pPr>
    </w:p>
    <w:p>
      <w:pPr>
        <w:spacing w:line="360" w:lineRule="auto"/>
        <w:rPr>
          <w:rFonts w:hint="eastAsia" w:ascii="宋体" w:hAnsi="宋体" w:cs="Times New Roman"/>
          <w:b/>
          <w:sz w:val="24"/>
          <w:lang w:eastAsia="zh-CN"/>
        </w:rPr>
      </w:pPr>
    </w:p>
    <w:p>
      <w:pPr>
        <w:pStyle w:val="2"/>
        <w:numPr>
          <w:ilvl w:val="0"/>
          <w:numId w:val="0"/>
        </w:numPr>
        <w:ind w:leftChars="0"/>
        <w:rPr>
          <w:rFonts w:hint="eastAsia"/>
          <w:b w:val="0"/>
          <w:bCs/>
        </w:rPr>
      </w:pPr>
    </w:p>
    <w:sectPr>
      <w:pgSz w:w="11906" w:h="16838"/>
      <w:pgMar w:top="1440" w:right="1406" w:bottom="1246" w:left="1758" w:header="1021" w:footer="90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altName w:val="微软雅黑"/>
    <w:panose1 w:val="02010509060101010101"/>
    <w:charset w:val="86"/>
    <w:family w:val="modern"/>
    <w:pitch w:val="default"/>
    <w:sig w:usb0="00000000" w:usb1="00000000" w:usb2="00000000" w:usb3="00000000" w:csb0="00040000"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20</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44"/>
      </w:rPr>
    </w:pPr>
    <w:r>
      <w:fldChar w:fldCharType="begin"/>
    </w:r>
    <w:r>
      <w:rPr>
        <w:rStyle w:val="44"/>
      </w:rPr>
      <w:instrText xml:space="preserve">PAGE  </w:instrText>
    </w:r>
    <w:r>
      <w:fldChar w:fldCharType="end"/>
    </w:r>
  </w:p>
  <w:p>
    <w:pPr>
      <w:pStyle w:val="2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B54C2BD"/>
    <w:multiLevelType w:val="singleLevel"/>
    <w:tmpl w:val="EB54C2BD"/>
    <w:lvl w:ilvl="0" w:tentative="0">
      <w:start w:val="1"/>
      <w:numFmt w:val="decimal"/>
      <w:lvlText w:val="%1."/>
      <w:lvlJc w:val="left"/>
      <w:pPr>
        <w:tabs>
          <w:tab w:val="left" w:pos="312"/>
        </w:tabs>
      </w:pPr>
    </w:lvl>
  </w:abstractNum>
  <w:abstractNum w:abstractNumId="1">
    <w:nsid w:val="FFFFFF7E"/>
    <w:multiLevelType w:val="singleLevel"/>
    <w:tmpl w:val="FFFFFF7E"/>
    <w:lvl w:ilvl="0" w:tentative="0">
      <w:start w:val="1"/>
      <w:numFmt w:val="decimal"/>
      <w:pStyle w:val="5"/>
      <w:lvlText w:val="%1."/>
      <w:lvlJc w:val="left"/>
      <w:pPr>
        <w:tabs>
          <w:tab w:val="left" w:pos="1200"/>
        </w:tabs>
        <w:ind w:left="1200" w:hanging="360"/>
      </w:pPr>
    </w:lvl>
  </w:abstractNum>
  <w:abstractNum w:abstractNumId="2">
    <w:nsid w:val="FFFFFF88"/>
    <w:multiLevelType w:val="singleLevel"/>
    <w:tmpl w:val="FFFFFF88"/>
    <w:lvl w:ilvl="0" w:tentative="0">
      <w:start w:val="1"/>
      <w:numFmt w:val="decimal"/>
      <w:pStyle w:val="3"/>
      <w:lvlText w:val="%1."/>
      <w:lvlJc w:val="left"/>
      <w:pPr>
        <w:tabs>
          <w:tab w:val="left" w:pos="360"/>
        </w:tabs>
        <w:ind w:left="360" w:hanging="360"/>
      </w:pPr>
    </w:lvl>
  </w:abstractNum>
  <w:abstractNum w:abstractNumId="3">
    <w:nsid w:val="0CFE12CA"/>
    <w:multiLevelType w:val="multilevel"/>
    <w:tmpl w:val="0CFE12CA"/>
    <w:lvl w:ilvl="0" w:tentative="0">
      <w:start w:val="1"/>
      <w:numFmt w:val="decimal"/>
      <w:lvlText w:val="%1."/>
      <w:lvlJc w:val="left"/>
      <w:pPr>
        <w:tabs>
          <w:tab w:val="left" w:pos="420"/>
        </w:tabs>
        <w:ind w:left="420" w:hanging="420"/>
      </w:p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upperLetter"/>
      <w:lvlText w:val="%3、"/>
      <w:lvlJc w:val="left"/>
      <w:pPr>
        <w:tabs>
          <w:tab w:val="left" w:pos="1260"/>
        </w:tabs>
        <w:ind w:left="1260" w:hanging="360"/>
      </w:pPr>
      <w:rPr>
        <w:rFonts w:hint="default"/>
      </w:rPr>
    </w:lvl>
    <w:lvl w:ilvl="3" w:tentative="0">
      <w:start w:val="1"/>
      <w:numFmt w:val="decimal"/>
      <w:pStyle w:val="69"/>
      <w:lvlText w:val="%4．"/>
      <w:lvlJc w:val="left"/>
      <w:pPr>
        <w:tabs>
          <w:tab w:val="left" w:pos="1620"/>
        </w:tabs>
        <w:ind w:left="1620" w:hanging="360"/>
      </w:pPr>
      <w:rPr>
        <w:rFonts w:hint="default"/>
      </w:rPr>
    </w:lvl>
    <w:lvl w:ilvl="4" w:tentative="0">
      <w:start w:val="1"/>
      <w:numFmt w:val="decimal"/>
      <w:lvlText w:val="%5）"/>
      <w:lvlJc w:val="left"/>
      <w:pPr>
        <w:tabs>
          <w:tab w:val="left" w:pos="2040"/>
        </w:tabs>
        <w:ind w:left="2040" w:hanging="360"/>
      </w:pPr>
      <w:rPr>
        <w:rFonts w:hint="default"/>
      </w:r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237E4D61"/>
    <w:multiLevelType w:val="multilevel"/>
    <w:tmpl w:val="237E4D61"/>
    <w:lvl w:ilvl="0" w:tentative="0">
      <w:start w:val="1"/>
      <w:numFmt w:val="japaneseCounting"/>
      <w:lvlText w:val="第%1章"/>
      <w:lvlJc w:val="left"/>
      <w:pPr>
        <w:ind w:left="300" w:hanging="420"/>
      </w:pPr>
      <w:rPr>
        <w:rFonts w:hint="eastAsia" w:ascii="黑体" w:eastAsia="黑体"/>
        <w:b w:val="0"/>
        <w:sz w:val="36"/>
        <w:lang w:val="en-US"/>
      </w:rPr>
    </w:lvl>
    <w:lvl w:ilvl="1" w:tentative="0">
      <w:start w:val="1"/>
      <w:numFmt w:val="decimal"/>
      <w:pStyle w:val="59"/>
      <w:isLgl/>
      <w:lvlText w:val="%1.%2"/>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2" w:tentative="0">
      <w:start w:val="1"/>
      <w:numFmt w:val="decimal"/>
      <w:pStyle w:val="60"/>
      <w:isLgl/>
      <w:lvlText w:val="%1.%2.%3"/>
      <w:lvlJc w:val="left"/>
      <w:pPr>
        <w:tabs>
          <w:tab w:val="left" w:pos="851"/>
        </w:tabs>
        <w:ind w:left="0" w:firstLine="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Cs w:val="0"/>
        <w:u w:val="none"/>
        <w:vertAlign w:val="baseline"/>
      </w:rPr>
    </w:lvl>
    <w:lvl w:ilvl="3" w:tentative="0">
      <w:start w:val="1"/>
      <w:numFmt w:val="decimal"/>
      <w:pStyle w:val="105"/>
      <w:isLgl/>
      <w:lvlText w:val="%1.%2.%3.%4"/>
      <w:lvlJc w:val="left"/>
      <w:pPr>
        <w:tabs>
          <w:tab w:val="left" w:pos="1134"/>
        </w:tabs>
        <w:ind w:left="0" w:firstLine="0"/>
      </w:pPr>
      <w:rPr>
        <w:rFonts w:hint="eastAsia"/>
      </w:rPr>
    </w:lvl>
    <w:lvl w:ilvl="4" w:tentative="0">
      <w:start w:val="1"/>
      <w:numFmt w:val="decimal"/>
      <w:lvlText w:val="%1.%2.%3.%4.%5"/>
      <w:lvlJc w:val="left"/>
      <w:pPr>
        <w:tabs>
          <w:tab w:val="left" w:pos="4850"/>
        </w:tabs>
        <w:ind w:left="4620" w:hanging="850"/>
      </w:pPr>
      <w:rPr>
        <w:rFonts w:hint="eastAsia"/>
      </w:rPr>
    </w:lvl>
    <w:lvl w:ilvl="5" w:tentative="0">
      <w:start w:val="1"/>
      <w:numFmt w:val="decimal"/>
      <w:lvlText w:val="%1.%2.%3.%4.%5.%6"/>
      <w:lvlJc w:val="left"/>
      <w:pPr>
        <w:tabs>
          <w:tab w:val="left" w:pos="5635"/>
        </w:tabs>
        <w:ind w:left="5329" w:hanging="1134"/>
      </w:pPr>
      <w:rPr>
        <w:rFonts w:hint="eastAsia"/>
      </w:rPr>
    </w:lvl>
    <w:lvl w:ilvl="6" w:tentative="0">
      <w:start w:val="1"/>
      <w:numFmt w:val="decimal"/>
      <w:lvlText w:val="%1.%2.%3.%4.%5.%6.%7"/>
      <w:lvlJc w:val="left"/>
      <w:pPr>
        <w:tabs>
          <w:tab w:val="left" w:pos="6420"/>
        </w:tabs>
        <w:ind w:left="5896" w:hanging="1276"/>
      </w:pPr>
      <w:rPr>
        <w:rFonts w:hint="eastAsia"/>
      </w:rPr>
    </w:lvl>
    <w:lvl w:ilvl="7" w:tentative="0">
      <w:start w:val="1"/>
      <w:numFmt w:val="decimal"/>
      <w:lvlText w:val="%1.%2.%3.%4.%5.%6.%7.%8"/>
      <w:lvlJc w:val="left"/>
      <w:pPr>
        <w:tabs>
          <w:tab w:val="left" w:pos="6845"/>
        </w:tabs>
        <w:ind w:left="6463" w:hanging="1418"/>
      </w:pPr>
      <w:rPr>
        <w:rFonts w:hint="eastAsia"/>
      </w:rPr>
    </w:lvl>
    <w:lvl w:ilvl="8" w:tentative="0">
      <w:start w:val="1"/>
      <w:numFmt w:val="decimal"/>
      <w:lvlText w:val="%1.%2.%3.%4.%5.%6.%7.%8.%9"/>
      <w:lvlJc w:val="left"/>
      <w:pPr>
        <w:tabs>
          <w:tab w:val="left" w:pos="7631"/>
        </w:tabs>
        <w:ind w:left="7171" w:hanging="1700"/>
      </w:pPr>
      <w:rPr>
        <w:rFonts w:hint="eastAsia"/>
      </w:rPr>
    </w:lvl>
  </w:abstractNum>
  <w:abstractNum w:abstractNumId="5">
    <w:nsid w:val="3AFDAC36"/>
    <w:multiLevelType w:val="multilevel"/>
    <w:tmpl w:val="3AFDAC36"/>
    <w:lvl w:ilvl="0" w:tentative="0">
      <w:start w:val="1"/>
      <w:numFmt w:val="chineseCountingThousand"/>
      <w:pStyle w:val="49"/>
      <w:suff w:val="nothing"/>
      <w:lvlText w:val="第%1章 "/>
      <w:lvlJc w:val="left"/>
    </w:lvl>
    <w:lvl w:ilvl="1" w:tentative="0">
      <w:start w:val="1"/>
      <w:numFmt w:val="decimal"/>
      <w:lvlText w:val="%1.%2"/>
      <w:lvlJc w:val="left"/>
      <w:rPr>
        <w:rFonts w:ascii="黑体" w:hAnsi="黑体" w:eastAsia="黑体"/>
        <w:sz w:val="32"/>
        <w:szCs w:val="32"/>
      </w:rPr>
    </w:lvl>
    <w:lvl w:ilvl="2" w:tentative="0">
      <w:start w:val="1"/>
      <w:numFmt w:val="decimal"/>
      <w:lvlText w:val="%1.%2.%3."/>
      <w:lvlJc w:val="left"/>
      <w:rPr>
        <w:rFonts w:ascii="黑体" w:hAnsi="黑体" w:eastAsia="黑体"/>
      </w:rPr>
    </w:lvl>
    <w:lvl w:ilvl="3" w:tentative="0">
      <w:start w:val="1"/>
      <w:numFmt w:val="decimal"/>
      <w:lvlText w:val="%1.%2.%3.%4."/>
      <w:lvlJc w:val="left"/>
      <w:rPr>
        <w:rFonts w:ascii="宋体" w:hAnsi="宋体" w:eastAsia="宋体"/>
      </w:rPr>
    </w:lvl>
    <w:lvl w:ilvl="4" w:tentative="0">
      <w:start w:val="1"/>
      <w:numFmt w:val="decimal"/>
      <w:lvlText w:val="%1.%2.%3.%4.%5."/>
      <w:lvlJc w:val="left"/>
      <w:rPr>
        <w:b/>
        <w:bCs w:val="0"/>
        <w:i w:val="0"/>
        <w:iCs w:val="0"/>
        <w:caps w:val="0"/>
        <w:smallCaps w:val="0"/>
        <w:strike w:val="0"/>
        <w:dstrike w:val="0"/>
        <w:vanish w:val="0"/>
        <w:position w:val="0"/>
      </w:rPr>
    </w:lvl>
    <w:lvl w:ilvl="5" w:tentative="0">
      <w:start w:val="1"/>
      <w:numFmt w:val="decimal"/>
      <w:lvlText w:val="%1.%2.%3.%4.%5.%6."/>
      <w:lvlJc w:val="left"/>
      <w:rPr>
        <w:rFonts w:ascii="宋体" w:hAnsi="宋体" w:eastAsia="宋体"/>
      </w:rPr>
    </w:lvl>
    <w:lvl w:ilvl="6" w:tentative="0">
      <w:start w:val="1"/>
      <w:numFmt w:val="decimal"/>
      <w:lvlText w:val="%1.%2.%3.%4.%5.%6.%7"/>
      <w:lvlJc w:val="left"/>
    </w:lvl>
    <w:lvl w:ilvl="7" w:tentative="0">
      <w:start w:val="1"/>
      <w:numFmt w:val="decimal"/>
      <w:lvlText w:val="%1.%2.%3.%4.%5.%6.%7.%8."/>
      <w:lvlJc w:val="left"/>
      <w:rPr>
        <w:b/>
        <w:bCs w:val="0"/>
        <w:i w:val="0"/>
        <w:iCs w:val="0"/>
        <w:caps w:val="0"/>
        <w:smallCaps w:val="0"/>
        <w:strike w:val="0"/>
        <w:dstrike w:val="0"/>
        <w:vanish w:val="0"/>
        <w:position w:val="0"/>
      </w:rPr>
    </w:lvl>
    <w:lvl w:ilvl="8" w:tentative="0">
      <w:start w:val="1"/>
      <w:numFmt w:val="decimal"/>
      <w:lvlText w:val="%1.%2.%3.%4.%5.%6.%7.%8.%9."/>
      <w:lvlJc w:val="left"/>
      <w:rPr>
        <w:rFonts w:ascii="宋体" w:hAnsi="宋体" w:eastAsia="宋体"/>
      </w:rPr>
    </w:lvl>
  </w:abstractNum>
  <w:abstractNum w:abstractNumId="6">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61164534"/>
    <w:multiLevelType w:val="multilevel"/>
    <w:tmpl w:val="61164534"/>
    <w:lvl w:ilvl="0" w:tentative="0">
      <w:start w:val="1"/>
      <w:numFmt w:val="bullet"/>
      <w:pStyle w:val="63"/>
      <w:lvlText w:val=""/>
      <w:lvlJc w:val="left"/>
      <w:pPr>
        <w:tabs>
          <w:tab w:val="left" w:pos="900"/>
        </w:tabs>
        <w:ind w:left="90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8">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9">
    <w:nsid w:val="6CAC619C"/>
    <w:multiLevelType w:val="multilevel"/>
    <w:tmpl w:val="6CAC619C"/>
    <w:lvl w:ilvl="0" w:tentative="0">
      <w:start w:val="1"/>
      <w:numFmt w:val="bullet"/>
      <w:pStyle w:val="102"/>
      <w:lvlText w:val=""/>
      <w:lvlJc w:val="left"/>
      <w:pPr>
        <w:tabs>
          <w:tab w:val="left" w:pos="840"/>
        </w:tabs>
        <w:ind w:left="840" w:hanging="420"/>
      </w:pPr>
      <w:rPr>
        <w:rFonts w:hint="default" w:ascii="Wingdings" w:hAnsi="Wingdings"/>
      </w:rPr>
    </w:lvl>
    <w:lvl w:ilvl="1" w:tentative="0">
      <w:start w:val="1"/>
      <w:numFmt w:val="none"/>
      <w:isLgl/>
      <w:suff w:val="space"/>
      <w:lvlText w:val="  2.2.1.1"/>
      <w:lvlJc w:val="left"/>
      <w:pPr>
        <w:ind w:left="567" w:hanging="567"/>
      </w:pPr>
      <w:rPr>
        <w:rFonts w:hint="eastAsia"/>
      </w:rPr>
    </w:lvl>
    <w:lvl w:ilvl="2" w:tentative="0">
      <w:start w:val="1"/>
      <w:numFmt w:val="none"/>
      <w:isLgl/>
      <w:suff w:val="space"/>
      <w:lvlText w:val="  2.2.1.3"/>
      <w:lvlJc w:val="left"/>
      <w:pPr>
        <w:ind w:left="0" w:firstLine="0"/>
      </w:pPr>
      <w:rPr>
        <w:rFonts w:hint="eastAsia"/>
      </w:rPr>
    </w:lvl>
    <w:lvl w:ilvl="3" w:tentative="0">
      <w:start w:val="1"/>
      <w:numFmt w:val="decimal"/>
      <w:isLgl/>
      <w:suff w:val="space"/>
      <w:lvlText w:val="%1.%2.%3.%4"/>
      <w:lvlJc w:val="left"/>
      <w:pPr>
        <w:ind w:left="851" w:hanging="851"/>
      </w:pPr>
      <w:rPr>
        <w:rFonts w:hint="eastAsia"/>
      </w:rPr>
    </w:lvl>
    <w:lvl w:ilvl="4" w:tentative="0">
      <w:start w:val="1"/>
      <w:numFmt w:val="decimal"/>
      <w:isLgl/>
      <w:suff w:val="space"/>
      <w:lvlText w:val="%1.%2.%3.%4.%5"/>
      <w:lvlJc w:val="left"/>
      <w:pPr>
        <w:ind w:left="992" w:hanging="992"/>
      </w:pPr>
      <w:rPr>
        <w:rFonts w:hint="eastAsia"/>
      </w:rPr>
    </w:lvl>
    <w:lvl w:ilvl="5" w:tentative="0">
      <w:start w:val="1"/>
      <w:numFmt w:val="decimal"/>
      <w:suff w:val="space"/>
      <w:lvlText w:val="%1.%2.%3.%4.%5.%6."/>
      <w:lvlJc w:val="left"/>
      <w:pPr>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10">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2"/>
  </w:num>
  <w:num w:numId="3">
    <w:abstractNumId w:val="1"/>
  </w:num>
  <w:num w:numId="4">
    <w:abstractNumId w:val="8"/>
  </w:num>
  <w:num w:numId="5">
    <w:abstractNumId w:val="5"/>
  </w:num>
  <w:num w:numId="6">
    <w:abstractNumId w:val="4"/>
  </w:num>
  <w:num w:numId="7">
    <w:abstractNumId w:val="7"/>
  </w:num>
  <w:num w:numId="8">
    <w:abstractNumId w:val="3"/>
  </w:num>
  <w:num w:numId="9">
    <w:abstractNumId w:val="9"/>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0016"/>
    <w:rsid w:val="000075D8"/>
    <w:rsid w:val="000103C5"/>
    <w:rsid w:val="00011630"/>
    <w:rsid w:val="00020569"/>
    <w:rsid w:val="00021D09"/>
    <w:rsid w:val="00021DA5"/>
    <w:rsid w:val="0002203D"/>
    <w:rsid w:val="0002468D"/>
    <w:rsid w:val="000254D2"/>
    <w:rsid w:val="00031F75"/>
    <w:rsid w:val="000331CE"/>
    <w:rsid w:val="00040464"/>
    <w:rsid w:val="00040D36"/>
    <w:rsid w:val="00050FA2"/>
    <w:rsid w:val="00051C47"/>
    <w:rsid w:val="000529D9"/>
    <w:rsid w:val="00055CF7"/>
    <w:rsid w:val="00055F37"/>
    <w:rsid w:val="0006025D"/>
    <w:rsid w:val="0006044E"/>
    <w:rsid w:val="000619E6"/>
    <w:rsid w:val="00062365"/>
    <w:rsid w:val="0006481E"/>
    <w:rsid w:val="00065EFB"/>
    <w:rsid w:val="00070DBB"/>
    <w:rsid w:val="00075000"/>
    <w:rsid w:val="00077F70"/>
    <w:rsid w:val="000805C0"/>
    <w:rsid w:val="00080CED"/>
    <w:rsid w:val="0008127C"/>
    <w:rsid w:val="0008141C"/>
    <w:rsid w:val="00083E93"/>
    <w:rsid w:val="00084C5F"/>
    <w:rsid w:val="00087F5F"/>
    <w:rsid w:val="00091B62"/>
    <w:rsid w:val="00092E39"/>
    <w:rsid w:val="000933A2"/>
    <w:rsid w:val="000934B7"/>
    <w:rsid w:val="000946C7"/>
    <w:rsid w:val="00094C02"/>
    <w:rsid w:val="00097868"/>
    <w:rsid w:val="000A3D75"/>
    <w:rsid w:val="000A3FC7"/>
    <w:rsid w:val="000A4F47"/>
    <w:rsid w:val="000A7046"/>
    <w:rsid w:val="000A773B"/>
    <w:rsid w:val="000B40A1"/>
    <w:rsid w:val="000B4820"/>
    <w:rsid w:val="000B5B46"/>
    <w:rsid w:val="000B625B"/>
    <w:rsid w:val="000C1CFA"/>
    <w:rsid w:val="000C1F3C"/>
    <w:rsid w:val="000C3344"/>
    <w:rsid w:val="000C60BE"/>
    <w:rsid w:val="000C7988"/>
    <w:rsid w:val="000D110F"/>
    <w:rsid w:val="000D3F26"/>
    <w:rsid w:val="000E3BDD"/>
    <w:rsid w:val="000E4A4F"/>
    <w:rsid w:val="000E62E9"/>
    <w:rsid w:val="000F2E92"/>
    <w:rsid w:val="00103EE7"/>
    <w:rsid w:val="00110E04"/>
    <w:rsid w:val="001120B7"/>
    <w:rsid w:val="00112B08"/>
    <w:rsid w:val="00114C81"/>
    <w:rsid w:val="00115BA5"/>
    <w:rsid w:val="00115C77"/>
    <w:rsid w:val="00116EDA"/>
    <w:rsid w:val="00117A8C"/>
    <w:rsid w:val="00121AB9"/>
    <w:rsid w:val="00125579"/>
    <w:rsid w:val="001308EC"/>
    <w:rsid w:val="0013448C"/>
    <w:rsid w:val="001345B3"/>
    <w:rsid w:val="00137525"/>
    <w:rsid w:val="00141C34"/>
    <w:rsid w:val="00143ED4"/>
    <w:rsid w:val="001447F4"/>
    <w:rsid w:val="0014682D"/>
    <w:rsid w:val="001541C3"/>
    <w:rsid w:val="0015597B"/>
    <w:rsid w:val="00156511"/>
    <w:rsid w:val="00156934"/>
    <w:rsid w:val="00157269"/>
    <w:rsid w:val="001604DE"/>
    <w:rsid w:val="00163413"/>
    <w:rsid w:val="00165725"/>
    <w:rsid w:val="00165D74"/>
    <w:rsid w:val="00166825"/>
    <w:rsid w:val="00177909"/>
    <w:rsid w:val="001818C0"/>
    <w:rsid w:val="00183F4E"/>
    <w:rsid w:val="001841D9"/>
    <w:rsid w:val="00184C15"/>
    <w:rsid w:val="00190DB7"/>
    <w:rsid w:val="00191263"/>
    <w:rsid w:val="00191706"/>
    <w:rsid w:val="00191EE1"/>
    <w:rsid w:val="00193494"/>
    <w:rsid w:val="00195D12"/>
    <w:rsid w:val="00196147"/>
    <w:rsid w:val="001A07EE"/>
    <w:rsid w:val="001A0C24"/>
    <w:rsid w:val="001A1189"/>
    <w:rsid w:val="001A236C"/>
    <w:rsid w:val="001A2D7A"/>
    <w:rsid w:val="001A619F"/>
    <w:rsid w:val="001B239B"/>
    <w:rsid w:val="001B2770"/>
    <w:rsid w:val="001B3EA9"/>
    <w:rsid w:val="001B485F"/>
    <w:rsid w:val="001B63A8"/>
    <w:rsid w:val="001C07C7"/>
    <w:rsid w:val="001C1CBB"/>
    <w:rsid w:val="001C353C"/>
    <w:rsid w:val="001C60BC"/>
    <w:rsid w:val="001C75A7"/>
    <w:rsid w:val="001D1142"/>
    <w:rsid w:val="001D152B"/>
    <w:rsid w:val="001D24BB"/>
    <w:rsid w:val="001D3A6E"/>
    <w:rsid w:val="001D50EB"/>
    <w:rsid w:val="001D6E1E"/>
    <w:rsid w:val="001D6ED7"/>
    <w:rsid w:val="001D7197"/>
    <w:rsid w:val="001E3B20"/>
    <w:rsid w:val="001E4A9F"/>
    <w:rsid w:val="001E7313"/>
    <w:rsid w:val="001F24ED"/>
    <w:rsid w:val="001F429B"/>
    <w:rsid w:val="001F43C6"/>
    <w:rsid w:val="001F4C63"/>
    <w:rsid w:val="001F7E31"/>
    <w:rsid w:val="0020567D"/>
    <w:rsid w:val="002056F9"/>
    <w:rsid w:val="00205C2C"/>
    <w:rsid w:val="00207722"/>
    <w:rsid w:val="002078A8"/>
    <w:rsid w:val="00207C67"/>
    <w:rsid w:val="00207CB8"/>
    <w:rsid w:val="00212994"/>
    <w:rsid w:val="00213DEE"/>
    <w:rsid w:val="00214864"/>
    <w:rsid w:val="002148FF"/>
    <w:rsid w:val="00216329"/>
    <w:rsid w:val="0022292E"/>
    <w:rsid w:val="00222A5E"/>
    <w:rsid w:val="00222A84"/>
    <w:rsid w:val="002243F2"/>
    <w:rsid w:val="0022536C"/>
    <w:rsid w:val="0022547D"/>
    <w:rsid w:val="00226F12"/>
    <w:rsid w:val="002312D8"/>
    <w:rsid w:val="00231CB7"/>
    <w:rsid w:val="002358A3"/>
    <w:rsid w:val="00235E1A"/>
    <w:rsid w:val="0023638E"/>
    <w:rsid w:val="00240FC2"/>
    <w:rsid w:val="00246854"/>
    <w:rsid w:val="002479FE"/>
    <w:rsid w:val="00247AB8"/>
    <w:rsid w:val="00247C02"/>
    <w:rsid w:val="00252CC8"/>
    <w:rsid w:val="00255923"/>
    <w:rsid w:val="00255BCB"/>
    <w:rsid w:val="00257027"/>
    <w:rsid w:val="00264623"/>
    <w:rsid w:val="00264FFB"/>
    <w:rsid w:val="0026541B"/>
    <w:rsid w:val="00266183"/>
    <w:rsid w:val="002670CB"/>
    <w:rsid w:val="00267326"/>
    <w:rsid w:val="00271741"/>
    <w:rsid w:val="002849A4"/>
    <w:rsid w:val="002860D2"/>
    <w:rsid w:val="002931F6"/>
    <w:rsid w:val="002945E5"/>
    <w:rsid w:val="00294D69"/>
    <w:rsid w:val="002959D3"/>
    <w:rsid w:val="00296127"/>
    <w:rsid w:val="002A0921"/>
    <w:rsid w:val="002A13E9"/>
    <w:rsid w:val="002A163B"/>
    <w:rsid w:val="002A168D"/>
    <w:rsid w:val="002A446A"/>
    <w:rsid w:val="002A4A75"/>
    <w:rsid w:val="002B186A"/>
    <w:rsid w:val="002B1A0B"/>
    <w:rsid w:val="002B458A"/>
    <w:rsid w:val="002B4A4B"/>
    <w:rsid w:val="002B6B66"/>
    <w:rsid w:val="002C0B70"/>
    <w:rsid w:val="002C2C53"/>
    <w:rsid w:val="002C7825"/>
    <w:rsid w:val="002D063D"/>
    <w:rsid w:val="002E35C4"/>
    <w:rsid w:val="002E4DCA"/>
    <w:rsid w:val="002E7487"/>
    <w:rsid w:val="002E7ADA"/>
    <w:rsid w:val="002F12EA"/>
    <w:rsid w:val="002F34ED"/>
    <w:rsid w:val="002F3755"/>
    <w:rsid w:val="003006C3"/>
    <w:rsid w:val="00302514"/>
    <w:rsid w:val="00305B8C"/>
    <w:rsid w:val="00306BB9"/>
    <w:rsid w:val="00307917"/>
    <w:rsid w:val="003160A0"/>
    <w:rsid w:val="00316329"/>
    <w:rsid w:val="003170F3"/>
    <w:rsid w:val="0031713A"/>
    <w:rsid w:val="00324230"/>
    <w:rsid w:val="0032476B"/>
    <w:rsid w:val="003275FB"/>
    <w:rsid w:val="0032789C"/>
    <w:rsid w:val="003314DE"/>
    <w:rsid w:val="0033366A"/>
    <w:rsid w:val="0033399E"/>
    <w:rsid w:val="003352CE"/>
    <w:rsid w:val="003369C4"/>
    <w:rsid w:val="003419C4"/>
    <w:rsid w:val="00360716"/>
    <w:rsid w:val="0036271F"/>
    <w:rsid w:val="00367EAB"/>
    <w:rsid w:val="0037368A"/>
    <w:rsid w:val="0037444C"/>
    <w:rsid w:val="00375107"/>
    <w:rsid w:val="0037517D"/>
    <w:rsid w:val="003800C5"/>
    <w:rsid w:val="00382701"/>
    <w:rsid w:val="003830C1"/>
    <w:rsid w:val="00384E3C"/>
    <w:rsid w:val="0038735A"/>
    <w:rsid w:val="0039130B"/>
    <w:rsid w:val="00393589"/>
    <w:rsid w:val="00393A4C"/>
    <w:rsid w:val="00396188"/>
    <w:rsid w:val="003A4702"/>
    <w:rsid w:val="003A4F59"/>
    <w:rsid w:val="003A62FF"/>
    <w:rsid w:val="003B1DC4"/>
    <w:rsid w:val="003B2B02"/>
    <w:rsid w:val="003C1125"/>
    <w:rsid w:val="003C2C4B"/>
    <w:rsid w:val="003C406A"/>
    <w:rsid w:val="003C637D"/>
    <w:rsid w:val="003C7174"/>
    <w:rsid w:val="003D0513"/>
    <w:rsid w:val="003D1A22"/>
    <w:rsid w:val="003D5DB9"/>
    <w:rsid w:val="003D699D"/>
    <w:rsid w:val="003E074D"/>
    <w:rsid w:val="003E47C2"/>
    <w:rsid w:val="003E6C02"/>
    <w:rsid w:val="003F1403"/>
    <w:rsid w:val="003F4084"/>
    <w:rsid w:val="003F40ED"/>
    <w:rsid w:val="003F4F7C"/>
    <w:rsid w:val="003F77E0"/>
    <w:rsid w:val="00400057"/>
    <w:rsid w:val="00402DDD"/>
    <w:rsid w:val="0040637F"/>
    <w:rsid w:val="00410909"/>
    <w:rsid w:val="00410993"/>
    <w:rsid w:val="004109FD"/>
    <w:rsid w:val="0041394C"/>
    <w:rsid w:val="00414BF4"/>
    <w:rsid w:val="00414F07"/>
    <w:rsid w:val="00417C8A"/>
    <w:rsid w:val="00421FA9"/>
    <w:rsid w:val="00431AF5"/>
    <w:rsid w:val="004366A6"/>
    <w:rsid w:val="004400A0"/>
    <w:rsid w:val="00442935"/>
    <w:rsid w:val="0044355E"/>
    <w:rsid w:val="0044422F"/>
    <w:rsid w:val="00445159"/>
    <w:rsid w:val="0044683D"/>
    <w:rsid w:val="004563C7"/>
    <w:rsid w:val="0045752F"/>
    <w:rsid w:val="00461637"/>
    <w:rsid w:val="0046167C"/>
    <w:rsid w:val="00462706"/>
    <w:rsid w:val="004636AA"/>
    <w:rsid w:val="0046587F"/>
    <w:rsid w:val="00467AF4"/>
    <w:rsid w:val="00471407"/>
    <w:rsid w:val="00472076"/>
    <w:rsid w:val="00476C0B"/>
    <w:rsid w:val="00476E19"/>
    <w:rsid w:val="00477EFE"/>
    <w:rsid w:val="00485E04"/>
    <w:rsid w:val="00492804"/>
    <w:rsid w:val="004942B9"/>
    <w:rsid w:val="00495084"/>
    <w:rsid w:val="00497699"/>
    <w:rsid w:val="00497DB2"/>
    <w:rsid w:val="004A0280"/>
    <w:rsid w:val="004A236E"/>
    <w:rsid w:val="004A3F25"/>
    <w:rsid w:val="004A4727"/>
    <w:rsid w:val="004A61B7"/>
    <w:rsid w:val="004A6D1F"/>
    <w:rsid w:val="004B045A"/>
    <w:rsid w:val="004B103F"/>
    <w:rsid w:val="004B266D"/>
    <w:rsid w:val="004B5136"/>
    <w:rsid w:val="004C0238"/>
    <w:rsid w:val="004C1536"/>
    <w:rsid w:val="004C15A4"/>
    <w:rsid w:val="004C41B6"/>
    <w:rsid w:val="004C72EB"/>
    <w:rsid w:val="004D0EA8"/>
    <w:rsid w:val="004D2760"/>
    <w:rsid w:val="004D314A"/>
    <w:rsid w:val="004D3922"/>
    <w:rsid w:val="004D66E3"/>
    <w:rsid w:val="004D7534"/>
    <w:rsid w:val="004E02C9"/>
    <w:rsid w:val="004E134F"/>
    <w:rsid w:val="004E1AB8"/>
    <w:rsid w:val="004E7895"/>
    <w:rsid w:val="004F2272"/>
    <w:rsid w:val="004F67BC"/>
    <w:rsid w:val="004F7507"/>
    <w:rsid w:val="005039B0"/>
    <w:rsid w:val="005041C0"/>
    <w:rsid w:val="00505AEF"/>
    <w:rsid w:val="00505F2D"/>
    <w:rsid w:val="00514DE6"/>
    <w:rsid w:val="00515F5B"/>
    <w:rsid w:val="00521399"/>
    <w:rsid w:val="00522546"/>
    <w:rsid w:val="00524FD6"/>
    <w:rsid w:val="00526510"/>
    <w:rsid w:val="0052672F"/>
    <w:rsid w:val="00527123"/>
    <w:rsid w:val="00527FB3"/>
    <w:rsid w:val="00530820"/>
    <w:rsid w:val="005319AA"/>
    <w:rsid w:val="005328A6"/>
    <w:rsid w:val="00536FBF"/>
    <w:rsid w:val="0054018C"/>
    <w:rsid w:val="00540BF1"/>
    <w:rsid w:val="00541006"/>
    <w:rsid w:val="00544130"/>
    <w:rsid w:val="0055088F"/>
    <w:rsid w:val="00551A22"/>
    <w:rsid w:val="00554AD1"/>
    <w:rsid w:val="00555D18"/>
    <w:rsid w:val="0056065C"/>
    <w:rsid w:val="00560B51"/>
    <w:rsid w:val="00563C81"/>
    <w:rsid w:val="0057066B"/>
    <w:rsid w:val="0057204E"/>
    <w:rsid w:val="005724BD"/>
    <w:rsid w:val="005725F1"/>
    <w:rsid w:val="00572A7F"/>
    <w:rsid w:val="00572BAD"/>
    <w:rsid w:val="00573BCB"/>
    <w:rsid w:val="00576BFE"/>
    <w:rsid w:val="00581173"/>
    <w:rsid w:val="005816A4"/>
    <w:rsid w:val="00586007"/>
    <w:rsid w:val="00586C3A"/>
    <w:rsid w:val="00591375"/>
    <w:rsid w:val="00591584"/>
    <w:rsid w:val="00592B7A"/>
    <w:rsid w:val="00594A03"/>
    <w:rsid w:val="00594CDD"/>
    <w:rsid w:val="00595634"/>
    <w:rsid w:val="005A1EF4"/>
    <w:rsid w:val="005A32FB"/>
    <w:rsid w:val="005A3E6E"/>
    <w:rsid w:val="005A7A4A"/>
    <w:rsid w:val="005B3129"/>
    <w:rsid w:val="005C3A22"/>
    <w:rsid w:val="005C459E"/>
    <w:rsid w:val="005C54A7"/>
    <w:rsid w:val="005C6F10"/>
    <w:rsid w:val="005D2F62"/>
    <w:rsid w:val="005D4ED4"/>
    <w:rsid w:val="005D59D9"/>
    <w:rsid w:val="005D7095"/>
    <w:rsid w:val="005E257B"/>
    <w:rsid w:val="005E68E7"/>
    <w:rsid w:val="005F5691"/>
    <w:rsid w:val="005F7262"/>
    <w:rsid w:val="00601BAC"/>
    <w:rsid w:val="006041A8"/>
    <w:rsid w:val="00610F82"/>
    <w:rsid w:val="006120C0"/>
    <w:rsid w:val="0061758A"/>
    <w:rsid w:val="00622303"/>
    <w:rsid w:val="0062469D"/>
    <w:rsid w:val="00625BC2"/>
    <w:rsid w:val="00630D2B"/>
    <w:rsid w:val="006351A3"/>
    <w:rsid w:val="0063604B"/>
    <w:rsid w:val="00642F04"/>
    <w:rsid w:val="0064310D"/>
    <w:rsid w:val="00645838"/>
    <w:rsid w:val="006546BF"/>
    <w:rsid w:val="0065585D"/>
    <w:rsid w:val="00660419"/>
    <w:rsid w:val="00661622"/>
    <w:rsid w:val="006620A2"/>
    <w:rsid w:val="0066317E"/>
    <w:rsid w:val="006650E4"/>
    <w:rsid w:val="00670931"/>
    <w:rsid w:val="00671AAF"/>
    <w:rsid w:val="006727EE"/>
    <w:rsid w:val="00675A5F"/>
    <w:rsid w:val="00675C4B"/>
    <w:rsid w:val="00676465"/>
    <w:rsid w:val="006804E4"/>
    <w:rsid w:val="0068376C"/>
    <w:rsid w:val="006839B6"/>
    <w:rsid w:val="0068703C"/>
    <w:rsid w:val="00690CD0"/>
    <w:rsid w:val="00694B34"/>
    <w:rsid w:val="00696477"/>
    <w:rsid w:val="006A0D9A"/>
    <w:rsid w:val="006A1906"/>
    <w:rsid w:val="006A1B8C"/>
    <w:rsid w:val="006A4EDA"/>
    <w:rsid w:val="006A73E0"/>
    <w:rsid w:val="006B183A"/>
    <w:rsid w:val="006B27B4"/>
    <w:rsid w:val="006B6B67"/>
    <w:rsid w:val="006C1AE2"/>
    <w:rsid w:val="006C56DD"/>
    <w:rsid w:val="006C5FEF"/>
    <w:rsid w:val="006D0208"/>
    <w:rsid w:val="006D13AE"/>
    <w:rsid w:val="006D4D2C"/>
    <w:rsid w:val="006D5B63"/>
    <w:rsid w:val="006D5E4F"/>
    <w:rsid w:val="006E39BD"/>
    <w:rsid w:val="006E57CE"/>
    <w:rsid w:val="006E64A5"/>
    <w:rsid w:val="006E6C77"/>
    <w:rsid w:val="006E797A"/>
    <w:rsid w:val="006F0A0C"/>
    <w:rsid w:val="006F1635"/>
    <w:rsid w:val="006F2510"/>
    <w:rsid w:val="006F42A5"/>
    <w:rsid w:val="006F7E8E"/>
    <w:rsid w:val="007008DB"/>
    <w:rsid w:val="00701E23"/>
    <w:rsid w:val="00702458"/>
    <w:rsid w:val="00702C93"/>
    <w:rsid w:val="00704093"/>
    <w:rsid w:val="00707395"/>
    <w:rsid w:val="00710E4E"/>
    <w:rsid w:val="00710E8D"/>
    <w:rsid w:val="00717F3C"/>
    <w:rsid w:val="0072052D"/>
    <w:rsid w:val="00721BF4"/>
    <w:rsid w:val="00727E2C"/>
    <w:rsid w:val="007338CA"/>
    <w:rsid w:val="0073719D"/>
    <w:rsid w:val="00743C5C"/>
    <w:rsid w:val="00747189"/>
    <w:rsid w:val="007525CE"/>
    <w:rsid w:val="007532B1"/>
    <w:rsid w:val="00753A65"/>
    <w:rsid w:val="00757587"/>
    <w:rsid w:val="00757BAC"/>
    <w:rsid w:val="0076096B"/>
    <w:rsid w:val="00762B5C"/>
    <w:rsid w:val="00763345"/>
    <w:rsid w:val="00764D8C"/>
    <w:rsid w:val="007654B0"/>
    <w:rsid w:val="00766915"/>
    <w:rsid w:val="007705A2"/>
    <w:rsid w:val="00770FAC"/>
    <w:rsid w:val="00772AC2"/>
    <w:rsid w:val="00773E11"/>
    <w:rsid w:val="00775269"/>
    <w:rsid w:val="00777C1A"/>
    <w:rsid w:val="007822C3"/>
    <w:rsid w:val="00782B63"/>
    <w:rsid w:val="007830B5"/>
    <w:rsid w:val="00783211"/>
    <w:rsid w:val="0078476D"/>
    <w:rsid w:val="00791792"/>
    <w:rsid w:val="007918C9"/>
    <w:rsid w:val="0079538E"/>
    <w:rsid w:val="007A06F3"/>
    <w:rsid w:val="007A1922"/>
    <w:rsid w:val="007A5361"/>
    <w:rsid w:val="007B33C8"/>
    <w:rsid w:val="007B33F2"/>
    <w:rsid w:val="007B34CA"/>
    <w:rsid w:val="007B686A"/>
    <w:rsid w:val="007C5716"/>
    <w:rsid w:val="007D3BD5"/>
    <w:rsid w:val="007D4361"/>
    <w:rsid w:val="007D7005"/>
    <w:rsid w:val="007E7334"/>
    <w:rsid w:val="007E745D"/>
    <w:rsid w:val="007E765C"/>
    <w:rsid w:val="007E7754"/>
    <w:rsid w:val="007F0976"/>
    <w:rsid w:val="007F26F9"/>
    <w:rsid w:val="007F7A17"/>
    <w:rsid w:val="0080196A"/>
    <w:rsid w:val="00802F4F"/>
    <w:rsid w:val="008051D5"/>
    <w:rsid w:val="008125CD"/>
    <w:rsid w:val="00815230"/>
    <w:rsid w:val="008163D9"/>
    <w:rsid w:val="008167D4"/>
    <w:rsid w:val="0082016A"/>
    <w:rsid w:val="00821492"/>
    <w:rsid w:val="0082176B"/>
    <w:rsid w:val="00821954"/>
    <w:rsid w:val="00821E98"/>
    <w:rsid w:val="00822072"/>
    <w:rsid w:val="00822430"/>
    <w:rsid w:val="008231ED"/>
    <w:rsid w:val="0082403F"/>
    <w:rsid w:val="008249F4"/>
    <w:rsid w:val="00826845"/>
    <w:rsid w:val="00827D63"/>
    <w:rsid w:val="00831F16"/>
    <w:rsid w:val="008325F0"/>
    <w:rsid w:val="00834B47"/>
    <w:rsid w:val="00840009"/>
    <w:rsid w:val="008403E2"/>
    <w:rsid w:val="00842C80"/>
    <w:rsid w:val="0084505D"/>
    <w:rsid w:val="0084577C"/>
    <w:rsid w:val="0084613D"/>
    <w:rsid w:val="00846817"/>
    <w:rsid w:val="008471A4"/>
    <w:rsid w:val="008504C3"/>
    <w:rsid w:val="00850D65"/>
    <w:rsid w:val="008557E8"/>
    <w:rsid w:val="00855F61"/>
    <w:rsid w:val="00856F70"/>
    <w:rsid w:val="00862F79"/>
    <w:rsid w:val="00863478"/>
    <w:rsid w:val="00863945"/>
    <w:rsid w:val="00863A88"/>
    <w:rsid w:val="0086543E"/>
    <w:rsid w:val="008776F1"/>
    <w:rsid w:val="008806CA"/>
    <w:rsid w:val="008833D3"/>
    <w:rsid w:val="0088347A"/>
    <w:rsid w:val="00885C63"/>
    <w:rsid w:val="00886234"/>
    <w:rsid w:val="00886634"/>
    <w:rsid w:val="00887B85"/>
    <w:rsid w:val="00890A80"/>
    <w:rsid w:val="00892176"/>
    <w:rsid w:val="00893D13"/>
    <w:rsid w:val="0089713E"/>
    <w:rsid w:val="0089776D"/>
    <w:rsid w:val="008A0D7C"/>
    <w:rsid w:val="008A370C"/>
    <w:rsid w:val="008A5161"/>
    <w:rsid w:val="008A69CB"/>
    <w:rsid w:val="008B111C"/>
    <w:rsid w:val="008B2017"/>
    <w:rsid w:val="008B43D4"/>
    <w:rsid w:val="008C3BF1"/>
    <w:rsid w:val="008C49F0"/>
    <w:rsid w:val="008C4E5B"/>
    <w:rsid w:val="008C5CEC"/>
    <w:rsid w:val="008D3D4F"/>
    <w:rsid w:val="008D4242"/>
    <w:rsid w:val="008D45A0"/>
    <w:rsid w:val="008D758B"/>
    <w:rsid w:val="008D7B31"/>
    <w:rsid w:val="008E19EE"/>
    <w:rsid w:val="008F07DF"/>
    <w:rsid w:val="008F5026"/>
    <w:rsid w:val="009003B1"/>
    <w:rsid w:val="0090287D"/>
    <w:rsid w:val="00904278"/>
    <w:rsid w:val="00910F44"/>
    <w:rsid w:val="00912BD2"/>
    <w:rsid w:val="00916538"/>
    <w:rsid w:val="00917D82"/>
    <w:rsid w:val="0092030F"/>
    <w:rsid w:val="00922F15"/>
    <w:rsid w:val="00924B55"/>
    <w:rsid w:val="00926541"/>
    <w:rsid w:val="009271D3"/>
    <w:rsid w:val="009309E4"/>
    <w:rsid w:val="0093253D"/>
    <w:rsid w:val="009330BE"/>
    <w:rsid w:val="00933FD9"/>
    <w:rsid w:val="00934F92"/>
    <w:rsid w:val="00936426"/>
    <w:rsid w:val="00936632"/>
    <w:rsid w:val="009415ED"/>
    <w:rsid w:val="00941625"/>
    <w:rsid w:val="009425D4"/>
    <w:rsid w:val="0094677B"/>
    <w:rsid w:val="00947AAD"/>
    <w:rsid w:val="00947FE6"/>
    <w:rsid w:val="00951BE1"/>
    <w:rsid w:val="0095251F"/>
    <w:rsid w:val="009557D2"/>
    <w:rsid w:val="00955B84"/>
    <w:rsid w:val="009568DF"/>
    <w:rsid w:val="009611A8"/>
    <w:rsid w:val="00962489"/>
    <w:rsid w:val="00963D7E"/>
    <w:rsid w:val="00963FC0"/>
    <w:rsid w:val="0096450C"/>
    <w:rsid w:val="009659F7"/>
    <w:rsid w:val="00970B0C"/>
    <w:rsid w:val="00970F9E"/>
    <w:rsid w:val="00973B4F"/>
    <w:rsid w:val="0097518C"/>
    <w:rsid w:val="0098612E"/>
    <w:rsid w:val="009924D5"/>
    <w:rsid w:val="009925CC"/>
    <w:rsid w:val="00995623"/>
    <w:rsid w:val="009A05BB"/>
    <w:rsid w:val="009A3EC8"/>
    <w:rsid w:val="009A4243"/>
    <w:rsid w:val="009A5165"/>
    <w:rsid w:val="009A5E9D"/>
    <w:rsid w:val="009B55F5"/>
    <w:rsid w:val="009B7BCE"/>
    <w:rsid w:val="009C0641"/>
    <w:rsid w:val="009C20DE"/>
    <w:rsid w:val="009C2ECA"/>
    <w:rsid w:val="009C3B05"/>
    <w:rsid w:val="009C5BD2"/>
    <w:rsid w:val="009C725B"/>
    <w:rsid w:val="009C76D3"/>
    <w:rsid w:val="009D1B96"/>
    <w:rsid w:val="009D3E5A"/>
    <w:rsid w:val="009D5067"/>
    <w:rsid w:val="009D5C27"/>
    <w:rsid w:val="009D6BDE"/>
    <w:rsid w:val="009D744F"/>
    <w:rsid w:val="009E0F67"/>
    <w:rsid w:val="009E1132"/>
    <w:rsid w:val="009E5E87"/>
    <w:rsid w:val="009E6A7E"/>
    <w:rsid w:val="009E6D86"/>
    <w:rsid w:val="009E7112"/>
    <w:rsid w:val="009F5CDD"/>
    <w:rsid w:val="00A00A56"/>
    <w:rsid w:val="00A03BA2"/>
    <w:rsid w:val="00A04CF4"/>
    <w:rsid w:val="00A053B1"/>
    <w:rsid w:val="00A11699"/>
    <w:rsid w:val="00A11BDD"/>
    <w:rsid w:val="00A1274F"/>
    <w:rsid w:val="00A13279"/>
    <w:rsid w:val="00A15C91"/>
    <w:rsid w:val="00A17F26"/>
    <w:rsid w:val="00A2031E"/>
    <w:rsid w:val="00A2075C"/>
    <w:rsid w:val="00A20F2A"/>
    <w:rsid w:val="00A216B1"/>
    <w:rsid w:val="00A23D3B"/>
    <w:rsid w:val="00A26379"/>
    <w:rsid w:val="00A27EE2"/>
    <w:rsid w:val="00A376C6"/>
    <w:rsid w:val="00A415C8"/>
    <w:rsid w:val="00A42B9E"/>
    <w:rsid w:val="00A54329"/>
    <w:rsid w:val="00A55CF1"/>
    <w:rsid w:val="00A55F87"/>
    <w:rsid w:val="00A5762A"/>
    <w:rsid w:val="00A63DE4"/>
    <w:rsid w:val="00A64D31"/>
    <w:rsid w:val="00A64E3D"/>
    <w:rsid w:val="00A711A7"/>
    <w:rsid w:val="00A7154B"/>
    <w:rsid w:val="00A72BC7"/>
    <w:rsid w:val="00A73BEB"/>
    <w:rsid w:val="00A74DA8"/>
    <w:rsid w:val="00A77233"/>
    <w:rsid w:val="00A8479A"/>
    <w:rsid w:val="00A9044C"/>
    <w:rsid w:val="00A90951"/>
    <w:rsid w:val="00A9106B"/>
    <w:rsid w:val="00A91F9A"/>
    <w:rsid w:val="00A93DB7"/>
    <w:rsid w:val="00A9498C"/>
    <w:rsid w:val="00A95DBC"/>
    <w:rsid w:val="00A97474"/>
    <w:rsid w:val="00AA15E0"/>
    <w:rsid w:val="00AA17DC"/>
    <w:rsid w:val="00AA23B3"/>
    <w:rsid w:val="00AB1227"/>
    <w:rsid w:val="00AB29D3"/>
    <w:rsid w:val="00AB335C"/>
    <w:rsid w:val="00AB39F3"/>
    <w:rsid w:val="00AB6628"/>
    <w:rsid w:val="00AC2836"/>
    <w:rsid w:val="00AC2B19"/>
    <w:rsid w:val="00AC3B05"/>
    <w:rsid w:val="00AC4A89"/>
    <w:rsid w:val="00AD5395"/>
    <w:rsid w:val="00AE2ED6"/>
    <w:rsid w:val="00AF003D"/>
    <w:rsid w:val="00AF4A99"/>
    <w:rsid w:val="00B00F7A"/>
    <w:rsid w:val="00B01FBA"/>
    <w:rsid w:val="00B0332B"/>
    <w:rsid w:val="00B12ECD"/>
    <w:rsid w:val="00B3313A"/>
    <w:rsid w:val="00B34302"/>
    <w:rsid w:val="00B35BBA"/>
    <w:rsid w:val="00B36043"/>
    <w:rsid w:val="00B40DE1"/>
    <w:rsid w:val="00B443FA"/>
    <w:rsid w:val="00B51069"/>
    <w:rsid w:val="00B55791"/>
    <w:rsid w:val="00B57A9F"/>
    <w:rsid w:val="00B618BA"/>
    <w:rsid w:val="00B63318"/>
    <w:rsid w:val="00B671A6"/>
    <w:rsid w:val="00B6726F"/>
    <w:rsid w:val="00B73B69"/>
    <w:rsid w:val="00B7499E"/>
    <w:rsid w:val="00B75866"/>
    <w:rsid w:val="00B84532"/>
    <w:rsid w:val="00B86003"/>
    <w:rsid w:val="00B86F4F"/>
    <w:rsid w:val="00B94480"/>
    <w:rsid w:val="00B95DEE"/>
    <w:rsid w:val="00BB0A07"/>
    <w:rsid w:val="00BB18BA"/>
    <w:rsid w:val="00BB2A8B"/>
    <w:rsid w:val="00BB4352"/>
    <w:rsid w:val="00BB5A91"/>
    <w:rsid w:val="00BC02D7"/>
    <w:rsid w:val="00BC06D7"/>
    <w:rsid w:val="00BC1B53"/>
    <w:rsid w:val="00BC6199"/>
    <w:rsid w:val="00BD127A"/>
    <w:rsid w:val="00BD1747"/>
    <w:rsid w:val="00BE057D"/>
    <w:rsid w:val="00BE4249"/>
    <w:rsid w:val="00BE6FA5"/>
    <w:rsid w:val="00BE709B"/>
    <w:rsid w:val="00BF4C70"/>
    <w:rsid w:val="00BF57C0"/>
    <w:rsid w:val="00BF63F2"/>
    <w:rsid w:val="00C032D4"/>
    <w:rsid w:val="00C036EC"/>
    <w:rsid w:val="00C053D6"/>
    <w:rsid w:val="00C0598F"/>
    <w:rsid w:val="00C064ED"/>
    <w:rsid w:val="00C10039"/>
    <w:rsid w:val="00C10130"/>
    <w:rsid w:val="00C120BD"/>
    <w:rsid w:val="00C123D9"/>
    <w:rsid w:val="00C13CF5"/>
    <w:rsid w:val="00C175B6"/>
    <w:rsid w:val="00C1781A"/>
    <w:rsid w:val="00C20844"/>
    <w:rsid w:val="00C20DC8"/>
    <w:rsid w:val="00C222D5"/>
    <w:rsid w:val="00C23B64"/>
    <w:rsid w:val="00C27678"/>
    <w:rsid w:val="00C31893"/>
    <w:rsid w:val="00C31EB2"/>
    <w:rsid w:val="00C329C3"/>
    <w:rsid w:val="00C36111"/>
    <w:rsid w:val="00C400CB"/>
    <w:rsid w:val="00C4277E"/>
    <w:rsid w:val="00C47340"/>
    <w:rsid w:val="00C47756"/>
    <w:rsid w:val="00C51376"/>
    <w:rsid w:val="00C52860"/>
    <w:rsid w:val="00C54787"/>
    <w:rsid w:val="00C55A4D"/>
    <w:rsid w:val="00C56E28"/>
    <w:rsid w:val="00C64502"/>
    <w:rsid w:val="00C6605F"/>
    <w:rsid w:val="00C66B9C"/>
    <w:rsid w:val="00C66EE6"/>
    <w:rsid w:val="00C67ED5"/>
    <w:rsid w:val="00C70880"/>
    <w:rsid w:val="00C721C3"/>
    <w:rsid w:val="00C74C32"/>
    <w:rsid w:val="00C77C5D"/>
    <w:rsid w:val="00C802D7"/>
    <w:rsid w:val="00C812E4"/>
    <w:rsid w:val="00C8162E"/>
    <w:rsid w:val="00C83068"/>
    <w:rsid w:val="00C83429"/>
    <w:rsid w:val="00C837BB"/>
    <w:rsid w:val="00C85C53"/>
    <w:rsid w:val="00C93022"/>
    <w:rsid w:val="00CA0A53"/>
    <w:rsid w:val="00CA42B7"/>
    <w:rsid w:val="00CA45AE"/>
    <w:rsid w:val="00CA4B23"/>
    <w:rsid w:val="00CA6080"/>
    <w:rsid w:val="00CA6275"/>
    <w:rsid w:val="00CA7348"/>
    <w:rsid w:val="00CB16E8"/>
    <w:rsid w:val="00CB6314"/>
    <w:rsid w:val="00CB7229"/>
    <w:rsid w:val="00CC14DF"/>
    <w:rsid w:val="00CC22CE"/>
    <w:rsid w:val="00CC3C23"/>
    <w:rsid w:val="00CC4F72"/>
    <w:rsid w:val="00CC52F5"/>
    <w:rsid w:val="00CD1CAB"/>
    <w:rsid w:val="00CD2780"/>
    <w:rsid w:val="00CD2A57"/>
    <w:rsid w:val="00CD3E5C"/>
    <w:rsid w:val="00CD7299"/>
    <w:rsid w:val="00CE129D"/>
    <w:rsid w:val="00CE3600"/>
    <w:rsid w:val="00CE3AD7"/>
    <w:rsid w:val="00CE50F5"/>
    <w:rsid w:val="00CE60E2"/>
    <w:rsid w:val="00CE6287"/>
    <w:rsid w:val="00CF33C3"/>
    <w:rsid w:val="00CF3D40"/>
    <w:rsid w:val="00CF7525"/>
    <w:rsid w:val="00CF781F"/>
    <w:rsid w:val="00CF7F2A"/>
    <w:rsid w:val="00D026F7"/>
    <w:rsid w:val="00D02884"/>
    <w:rsid w:val="00D05BBB"/>
    <w:rsid w:val="00D06E3F"/>
    <w:rsid w:val="00D1373D"/>
    <w:rsid w:val="00D1707D"/>
    <w:rsid w:val="00D200E4"/>
    <w:rsid w:val="00D2049A"/>
    <w:rsid w:val="00D2184B"/>
    <w:rsid w:val="00D24803"/>
    <w:rsid w:val="00D25659"/>
    <w:rsid w:val="00D25F0F"/>
    <w:rsid w:val="00D26F28"/>
    <w:rsid w:val="00D317F4"/>
    <w:rsid w:val="00D32D01"/>
    <w:rsid w:val="00D353FF"/>
    <w:rsid w:val="00D41710"/>
    <w:rsid w:val="00D46220"/>
    <w:rsid w:val="00D47EE6"/>
    <w:rsid w:val="00D512D8"/>
    <w:rsid w:val="00D51479"/>
    <w:rsid w:val="00D52109"/>
    <w:rsid w:val="00D53905"/>
    <w:rsid w:val="00D57AB2"/>
    <w:rsid w:val="00D625F8"/>
    <w:rsid w:val="00D63784"/>
    <w:rsid w:val="00D65AF5"/>
    <w:rsid w:val="00D7184C"/>
    <w:rsid w:val="00D73F4E"/>
    <w:rsid w:val="00D741FA"/>
    <w:rsid w:val="00D74A49"/>
    <w:rsid w:val="00D82099"/>
    <w:rsid w:val="00D832F2"/>
    <w:rsid w:val="00D840D8"/>
    <w:rsid w:val="00D85894"/>
    <w:rsid w:val="00D87F03"/>
    <w:rsid w:val="00D93673"/>
    <w:rsid w:val="00DA0F68"/>
    <w:rsid w:val="00DA204D"/>
    <w:rsid w:val="00DA3A8C"/>
    <w:rsid w:val="00DA4EC4"/>
    <w:rsid w:val="00DA55DB"/>
    <w:rsid w:val="00DA5D11"/>
    <w:rsid w:val="00DA7361"/>
    <w:rsid w:val="00DA7BFE"/>
    <w:rsid w:val="00DB6291"/>
    <w:rsid w:val="00DB7E2C"/>
    <w:rsid w:val="00DC0399"/>
    <w:rsid w:val="00DC10A7"/>
    <w:rsid w:val="00DC2DEF"/>
    <w:rsid w:val="00DC32A2"/>
    <w:rsid w:val="00DD1CA9"/>
    <w:rsid w:val="00DD29D3"/>
    <w:rsid w:val="00DD323B"/>
    <w:rsid w:val="00DD4226"/>
    <w:rsid w:val="00DD4B24"/>
    <w:rsid w:val="00DD73C3"/>
    <w:rsid w:val="00DE0D8C"/>
    <w:rsid w:val="00DE0E5F"/>
    <w:rsid w:val="00DE12F4"/>
    <w:rsid w:val="00DE199F"/>
    <w:rsid w:val="00DE1DFC"/>
    <w:rsid w:val="00DE4121"/>
    <w:rsid w:val="00DE43B2"/>
    <w:rsid w:val="00DE5E8D"/>
    <w:rsid w:val="00DF1D0C"/>
    <w:rsid w:val="00DF3C24"/>
    <w:rsid w:val="00DF4624"/>
    <w:rsid w:val="00DF46D3"/>
    <w:rsid w:val="00DF4743"/>
    <w:rsid w:val="00DF5554"/>
    <w:rsid w:val="00DF7B2B"/>
    <w:rsid w:val="00E0169D"/>
    <w:rsid w:val="00E01909"/>
    <w:rsid w:val="00E025C2"/>
    <w:rsid w:val="00E03946"/>
    <w:rsid w:val="00E04FDF"/>
    <w:rsid w:val="00E05F15"/>
    <w:rsid w:val="00E07D2B"/>
    <w:rsid w:val="00E10659"/>
    <w:rsid w:val="00E11819"/>
    <w:rsid w:val="00E1232C"/>
    <w:rsid w:val="00E12665"/>
    <w:rsid w:val="00E13BF7"/>
    <w:rsid w:val="00E149E5"/>
    <w:rsid w:val="00E17D3E"/>
    <w:rsid w:val="00E17D79"/>
    <w:rsid w:val="00E17D8E"/>
    <w:rsid w:val="00E20A02"/>
    <w:rsid w:val="00E21EF5"/>
    <w:rsid w:val="00E24E60"/>
    <w:rsid w:val="00E30507"/>
    <w:rsid w:val="00E36DEC"/>
    <w:rsid w:val="00E3742A"/>
    <w:rsid w:val="00E415EC"/>
    <w:rsid w:val="00E42DE4"/>
    <w:rsid w:val="00E42E02"/>
    <w:rsid w:val="00E46623"/>
    <w:rsid w:val="00E46C42"/>
    <w:rsid w:val="00E51C1B"/>
    <w:rsid w:val="00E57296"/>
    <w:rsid w:val="00E622B2"/>
    <w:rsid w:val="00E62657"/>
    <w:rsid w:val="00E6284A"/>
    <w:rsid w:val="00E65026"/>
    <w:rsid w:val="00E65A9B"/>
    <w:rsid w:val="00E6758E"/>
    <w:rsid w:val="00E71F8C"/>
    <w:rsid w:val="00E721CD"/>
    <w:rsid w:val="00E729D1"/>
    <w:rsid w:val="00E74B8F"/>
    <w:rsid w:val="00E8173E"/>
    <w:rsid w:val="00E82C35"/>
    <w:rsid w:val="00E8438C"/>
    <w:rsid w:val="00E85789"/>
    <w:rsid w:val="00E87BFE"/>
    <w:rsid w:val="00E91B94"/>
    <w:rsid w:val="00E96733"/>
    <w:rsid w:val="00EA0659"/>
    <w:rsid w:val="00EA430C"/>
    <w:rsid w:val="00EA4736"/>
    <w:rsid w:val="00EA62B8"/>
    <w:rsid w:val="00EA6B0D"/>
    <w:rsid w:val="00EA79C8"/>
    <w:rsid w:val="00EA7EF4"/>
    <w:rsid w:val="00EB0E9D"/>
    <w:rsid w:val="00EB32E5"/>
    <w:rsid w:val="00EB6877"/>
    <w:rsid w:val="00EB6972"/>
    <w:rsid w:val="00EB78CA"/>
    <w:rsid w:val="00EC09E8"/>
    <w:rsid w:val="00EC0F84"/>
    <w:rsid w:val="00EC155E"/>
    <w:rsid w:val="00EC1EB9"/>
    <w:rsid w:val="00EC3182"/>
    <w:rsid w:val="00EC38D9"/>
    <w:rsid w:val="00EC4D26"/>
    <w:rsid w:val="00EC5644"/>
    <w:rsid w:val="00EC7697"/>
    <w:rsid w:val="00ED23BB"/>
    <w:rsid w:val="00ED2AD2"/>
    <w:rsid w:val="00ED7A06"/>
    <w:rsid w:val="00EE2615"/>
    <w:rsid w:val="00EE2CF8"/>
    <w:rsid w:val="00EE54FE"/>
    <w:rsid w:val="00EE5CFA"/>
    <w:rsid w:val="00EE5E15"/>
    <w:rsid w:val="00EE6F09"/>
    <w:rsid w:val="00EF0B12"/>
    <w:rsid w:val="00EF318A"/>
    <w:rsid w:val="00EF336F"/>
    <w:rsid w:val="00EF734B"/>
    <w:rsid w:val="00F00675"/>
    <w:rsid w:val="00F01C96"/>
    <w:rsid w:val="00F03E21"/>
    <w:rsid w:val="00F03EE6"/>
    <w:rsid w:val="00F045C3"/>
    <w:rsid w:val="00F059EC"/>
    <w:rsid w:val="00F0661F"/>
    <w:rsid w:val="00F06B04"/>
    <w:rsid w:val="00F11B64"/>
    <w:rsid w:val="00F12CBB"/>
    <w:rsid w:val="00F1416A"/>
    <w:rsid w:val="00F16274"/>
    <w:rsid w:val="00F20E64"/>
    <w:rsid w:val="00F221EF"/>
    <w:rsid w:val="00F2566F"/>
    <w:rsid w:val="00F33527"/>
    <w:rsid w:val="00F35DF7"/>
    <w:rsid w:val="00F3654B"/>
    <w:rsid w:val="00F36E9B"/>
    <w:rsid w:val="00F4098C"/>
    <w:rsid w:val="00F40B7C"/>
    <w:rsid w:val="00F41632"/>
    <w:rsid w:val="00F454C9"/>
    <w:rsid w:val="00F455F2"/>
    <w:rsid w:val="00F47296"/>
    <w:rsid w:val="00F5295B"/>
    <w:rsid w:val="00F53270"/>
    <w:rsid w:val="00F63771"/>
    <w:rsid w:val="00F63922"/>
    <w:rsid w:val="00F651D8"/>
    <w:rsid w:val="00F70C83"/>
    <w:rsid w:val="00F71D59"/>
    <w:rsid w:val="00F73E5B"/>
    <w:rsid w:val="00F74833"/>
    <w:rsid w:val="00F76826"/>
    <w:rsid w:val="00F76A15"/>
    <w:rsid w:val="00F76CC0"/>
    <w:rsid w:val="00F77F72"/>
    <w:rsid w:val="00F82584"/>
    <w:rsid w:val="00F86A9A"/>
    <w:rsid w:val="00F90AEF"/>
    <w:rsid w:val="00F94408"/>
    <w:rsid w:val="00F9457B"/>
    <w:rsid w:val="00F9574E"/>
    <w:rsid w:val="00F97529"/>
    <w:rsid w:val="00FA0DA1"/>
    <w:rsid w:val="00FA259E"/>
    <w:rsid w:val="00FA6091"/>
    <w:rsid w:val="00FB02A1"/>
    <w:rsid w:val="00FB1EB6"/>
    <w:rsid w:val="00FB5FF6"/>
    <w:rsid w:val="00FB6C90"/>
    <w:rsid w:val="00FB7316"/>
    <w:rsid w:val="00FC00D2"/>
    <w:rsid w:val="00FC066F"/>
    <w:rsid w:val="00FC4A22"/>
    <w:rsid w:val="00FC53AF"/>
    <w:rsid w:val="00FC5B79"/>
    <w:rsid w:val="00FC6944"/>
    <w:rsid w:val="00FC768A"/>
    <w:rsid w:val="00FD088A"/>
    <w:rsid w:val="00FD727B"/>
    <w:rsid w:val="00FD7C40"/>
    <w:rsid w:val="00FE026B"/>
    <w:rsid w:val="00FE1C85"/>
    <w:rsid w:val="00FE564A"/>
    <w:rsid w:val="00FE5E89"/>
    <w:rsid w:val="00FF0D7C"/>
    <w:rsid w:val="00FF2B82"/>
    <w:rsid w:val="00FF61E7"/>
    <w:rsid w:val="01BA72E3"/>
    <w:rsid w:val="03F14B4F"/>
    <w:rsid w:val="03F90363"/>
    <w:rsid w:val="04D915A2"/>
    <w:rsid w:val="05080FEA"/>
    <w:rsid w:val="06561299"/>
    <w:rsid w:val="0B2F45AB"/>
    <w:rsid w:val="0B940758"/>
    <w:rsid w:val="0C1E1004"/>
    <w:rsid w:val="0F286265"/>
    <w:rsid w:val="0FBB2351"/>
    <w:rsid w:val="13CC5FDC"/>
    <w:rsid w:val="14D77431"/>
    <w:rsid w:val="155543E5"/>
    <w:rsid w:val="16C431BA"/>
    <w:rsid w:val="16F210CB"/>
    <w:rsid w:val="17B16835"/>
    <w:rsid w:val="182F4094"/>
    <w:rsid w:val="198A45EA"/>
    <w:rsid w:val="19B36B18"/>
    <w:rsid w:val="1A54757E"/>
    <w:rsid w:val="1A8141EC"/>
    <w:rsid w:val="1BAF16A9"/>
    <w:rsid w:val="1D722F5E"/>
    <w:rsid w:val="1D8B2AE9"/>
    <w:rsid w:val="1E3F64E8"/>
    <w:rsid w:val="20C51166"/>
    <w:rsid w:val="218F4336"/>
    <w:rsid w:val="228479DA"/>
    <w:rsid w:val="22A9338F"/>
    <w:rsid w:val="239936BE"/>
    <w:rsid w:val="24954AF3"/>
    <w:rsid w:val="253C2831"/>
    <w:rsid w:val="2595596D"/>
    <w:rsid w:val="262C491A"/>
    <w:rsid w:val="295A7AFC"/>
    <w:rsid w:val="2A8A2009"/>
    <w:rsid w:val="2AE50738"/>
    <w:rsid w:val="2BA0658A"/>
    <w:rsid w:val="2C7B1DD1"/>
    <w:rsid w:val="2F645A60"/>
    <w:rsid w:val="30C374B7"/>
    <w:rsid w:val="30F466D9"/>
    <w:rsid w:val="315232BD"/>
    <w:rsid w:val="31B661AB"/>
    <w:rsid w:val="31E4245E"/>
    <w:rsid w:val="32383D1E"/>
    <w:rsid w:val="32906727"/>
    <w:rsid w:val="33BA2182"/>
    <w:rsid w:val="33DB5BD8"/>
    <w:rsid w:val="345D33A2"/>
    <w:rsid w:val="34686997"/>
    <w:rsid w:val="35AC6F0E"/>
    <w:rsid w:val="36380489"/>
    <w:rsid w:val="373F700C"/>
    <w:rsid w:val="383D23A1"/>
    <w:rsid w:val="396670BA"/>
    <w:rsid w:val="3ED5698A"/>
    <w:rsid w:val="3F28194A"/>
    <w:rsid w:val="41EC7064"/>
    <w:rsid w:val="4318072C"/>
    <w:rsid w:val="44523AEE"/>
    <w:rsid w:val="453A465B"/>
    <w:rsid w:val="45847F1D"/>
    <w:rsid w:val="46C8400B"/>
    <w:rsid w:val="46CE7EBC"/>
    <w:rsid w:val="474750C5"/>
    <w:rsid w:val="4ADC6B1D"/>
    <w:rsid w:val="4B3A5A38"/>
    <w:rsid w:val="4C5351FE"/>
    <w:rsid w:val="4C5D668F"/>
    <w:rsid w:val="4DBF74B1"/>
    <w:rsid w:val="4FAE16D6"/>
    <w:rsid w:val="53484B1A"/>
    <w:rsid w:val="542274C8"/>
    <w:rsid w:val="581B1A69"/>
    <w:rsid w:val="584E0981"/>
    <w:rsid w:val="588066E2"/>
    <w:rsid w:val="58AF68ED"/>
    <w:rsid w:val="58FF0E80"/>
    <w:rsid w:val="5A1F22C1"/>
    <w:rsid w:val="5A3571BB"/>
    <w:rsid w:val="5B0C415B"/>
    <w:rsid w:val="5B3D49D7"/>
    <w:rsid w:val="5B5258E1"/>
    <w:rsid w:val="5BB479F5"/>
    <w:rsid w:val="5D6F7E07"/>
    <w:rsid w:val="5DF048DC"/>
    <w:rsid w:val="5E5732FD"/>
    <w:rsid w:val="5F5C22F4"/>
    <w:rsid w:val="63CD4BE8"/>
    <w:rsid w:val="63D33506"/>
    <w:rsid w:val="63F44474"/>
    <w:rsid w:val="680B2FBB"/>
    <w:rsid w:val="69F244A3"/>
    <w:rsid w:val="6A0D48E6"/>
    <w:rsid w:val="6A8D34B5"/>
    <w:rsid w:val="6A8F5788"/>
    <w:rsid w:val="6F923C77"/>
    <w:rsid w:val="6FA90185"/>
    <w:rsid w:val="6FB955AF"/>
    <w:rsid w:val="70C36FF7"/>
    <w:rsid w:val="71467D69"/>
    <w:rsid w:val="72832421"/>
    <w:rsid w:val="72884402"/>
    <w:rsid w:val="72EA35C0"/>
    <w:rsid w:val="73B36AB5"/>
    <w:rsid w:val="742E235F"/>
    <w:rsid w:val="75C6098C"/>
    <w:rsid w:val="762539CE"/>
    <w:rsid w:val="7668643A"/>
    <w:rsid w:val="772C0266"/>
    <w:rsid w:val="777B25D5"/>
    <w:rsid w:val="77EF7CB8"/>
    <w:rsid w:val="7A5C66FE"/>
    <w:rsid w:val="7A5F4B2D"/>
    <w:rsid w:val="7D875218"/>
    <w:rsid w:val="7E4E481F"/>
    <w:rsid w:val="7F383620"/>
    <w:rsid w:val="7F6E151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5"/>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120"/>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117"/>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132"/>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122"/>
    <w:qFormat/>
    <w:uiPriority w:val="0"/>
    <w:pPr>
      <w:keepNext/>
      <w:widowControl/>
      <w:numPr>
        <w:ilvl w:val="0"/>
        <w:numId w:val="4"/>
      </w:numPr>
      <w:jc w:val="left"/>
      <w:outlineLvl w:val="4"/>
    </w:pPr>
    <w:rPr>
      <w:kern w:val="0"/>
      <w:sz w:val="24"/>
      <w:szCs w:val="20"/>
    </w:rPr>
  </w:style>
  <w:style w:type="paragraph" w:styleId="8">
    <w:name w:val="heading 6"/>
    <w:basedOn w:val="1"/>
    <w:next w:val="1"/>
    <w:link w:val="114"/>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152"/>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126"/>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134"/>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2">
    <w:name w:val="Default Paragraph Font"/>
    <w:semiHidden/>
    <w:qFormat/>
    <w:uiPriority w:val="0"/>
  </w:style>
  <w:style w:type="table" w:default="1" w:styleId="40">
    <w:name w:val="Normal Table"/>
    <w:semiHidden/>
    <w:qFormat/>
    <w:uiPriority w:val="0"/>
    <w:tblPr>
      <w:tblCellMar>
        <w:top w:w="0" w:type="dxa"/>
        <w:left w:w="108" w:type="dxa"/>
        <w:bottom w:w="0" w:type="dxa"/>
        <w:right w:w="108" w:type="dxa"/>
      </w:tblCellMar>
    </w:tblPr>
  </w:style>
  <w:style w:type="paragraph" w:styleId="4">
    <w:name w:val="Normal Indent"/>
    <w:basedOn w:val="1"/>
    <w:link w:val="150"/>
    <w:qFormat/>
    <w:uiPriority w:val="0"/>
    <w:pPr>
      <w:ind w:firstLine="420" w:firstLineChars="200"/>
    </w:pPr>
  </w:style>
  <w:style w:type="paragraph" w:styleId="12">
    <w:name w:val="List Number 2"/>
    <w:basedOn w:val="1"/>
    <w:qFormat/>
    <w:uiPriority w:val="0"/>
    <w:pPr>
      <w:widowControl/>
      <w:tabs>
        <w:tab w:val="left" w:pos="1697"/>
      </w:tabs>
      <w:spacing w:after="50" w:afterLines="50"/>
      <w:ind w:left="1697" w:hanging="420"/>
      <w:jc w:val="left"/>
    </w:pPr>
    <w:rPr>
      <w:kern w:val="0"/>
      <w:sz w:val="24"/>
      <w:szCs w:val="20"/>
    </w:rPr>
  </w:style>
  <w:style w:type="paragraph" w:styleId="13">
    <w:name w:val="List Number"/>
    <w:basedOn w:val="1"/>
    <w:qFormat/>
    <w:uiPriority w:val="0"/>
    <w:pPr>
      <w:widowControl/>
      <w:numPr>
        <w:ilvl w:val="0"/>
        <w:numId w:val="2"/>
      </w:numPr>
      <w:tabs>
        <w:tab w:val="left" w:pos="454"/>
        <w:tab w:val="clear" w:pos="360"/>
      </w:tabs>
      <w:spacing w:after="50" w:afterLines="50"/>
      <w:ind w:left="454" w:hanging="284" w:firstLineChars="0"/>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45"/>
    <w:semiHidden/>
    <w:qFormat/>
    <w:uiPriority w:val="0"/>
    <w:pPr>
      <w:shd w:val="clear" w:color="auto" w:fill="000080"/>
    </w:pPr>
  </w:style>
  <w:style w:type="paragraph" w:styleId="16">
    <w:name w:val="annotation text"/>
    <w:basedOn w:val="1"/>
    <w:link w:val="121"/>
    <w:semiHidden/>
    <w:qFormat/>
    <w:uiPriority w:val="0"/>
    <w:pPr>
      <w:jc w:val="left"/>
    </w:pPr>
  </w:style>
  <w:style w:type="paragraph" w:styleId="17">
    <w:name w:val="Body Text"/>
    <w:basedOn w:val="1"/>
    <w:link w:val="142"/>
    <w:qFormat/>
    <w:uiPriority w:val="0"/>
    <w:pPr>
      <w:spacing w:line="360" w:lineRule="auto"/>
    </w:pPr>
    <w:rPr>
      <w:rFonts w:eastAsia="仿宋_GB2312"/>
      <w:sz w:val="28"/>
    </w:rPr>
  </w:style>
  <w:style w:type="paragraph" w:styleId="18">
    <w:name w:val="Body Text Indent"/>
    <w:basedOn w:val="1"/>
    <w:link w:val="144"/>
    <w:qFormat/>
    <w:uiPriority w:val="0"/>
    <w:pPr>
      <w:spacing w:after="120"/>
      <w:ind w:left="420" w:leftChars="200"/>
    </w:pPr>
  </w:style>
  <w:style w:type="paragraph" w:styleId="19">
    <w:name w:val="List Number 3"/>
    <w:basedOn w:val="1"/>
    <w:qFormat/>
    <w:uiPriority w:val="0"/>
    <w:pPr>
      <w:widowControl/>
      <w:numPr>
        <w:ilvl w:val="0"/>
        <w:numId w:val="3"/>
      </w:numPr>
      <w:tabs>
        <w:tab w:val="left" w:pos="482"/>
        <w:tab w:val="clear" w:pos="1200"/>
      </w:tabs>
      <w:spacing w:after="50" w:afterLines="50"/>
      <w:ind w:left="482" w:leftChars="0" w:hanging="340" w:firstLineChars="0"/>
      <w:jc w:val="left"/>
    </w:pPr>
    <w:rPr>
      <w:kern w:val="0"/>
      <w:sz w:val="24"/>
      <w:szCs w:val="20"/>
    </w:rPr>
  </w:style>
  <w:style w:type="paragraph" w:styleId="20">
    <w:name w:val="Block Text"/>
    <w:basedOn w:val="1"/>
    <w:qFormat/>
    <w:uiPriority w:val="0"/>
    <w:pPr>
      <w:spacing w:before="120" w:line="360" w:lineRule="auto"/>
      <w:ind w:left="824" w:right="202"/>
    </w:pPr>
    <w:rPr>
      <w:rFonts w:ascii="宋体" w:hAnsi="宋体"/>
      <w:sz w:val="24"/>
      <w:szCs w:val="21"/>
    </w:rPr>
  </w:style>
  <w:style w:type="paragraph" w:styleId="21">
    <w:name w:val="Plain Text"/>
    <w:basedOn w:val="1"/>
    <w:link w:val="153"/>
    <w:qFormat/>
    <w:uiPriority w:val="99"/>
    <w:rPr>
      <w:rFonts w:ascii="宋体" w:hAnsi="Courier New"/>
      <w:szCs w:val="20"/>
    </w:rPr>
  </w:style>
  <w:style w:type="paragraph" w:styleId="22">
    <w:name w:val="Date"/>
    <w:basedOn w:val="1"/>
    <w:next w:val="1"/>
    <w:link w:val="131"/>
    <w:qFormat/>
    <w:uiPriority w:val="0"/>
    <w:rPr>
      <w:rFonts w:ascii="楷体_GB2312" w:eastAsia="楷体_GB2312"/>
      <w:b/>
      <w:sz w:val="28"/>
      <w:szCs w:val="20"/>
    </w:rPr>
  </w:style>
  <w:style w:type="paragraph" w:styleId="23">
    <w:name w:val="Body Text Indent 2"/>
    <w:basedOn w:val="1"/>
    <w:link w:val="164"/>
    <w:qFormat/>
    <w:uiPriority w:val="0"/>
    <w:pPr>
      <w:spacing w:after="120" w:line="480" w:lineRule="auto"/>
      <w:ind w:left="420" w:leftChars="200"/>
    </w:pPr>
  </w:style>
  <w:style w:type="paragraph" w:styleId="24">
    <w:name w:val="Balloon Text"/>
    <w:basedOn w:val="1"/>
    <w:semiHidden/>
    <w:qFormat/>
    <w:uiPriority w:val="0"/>
    <w:rPr>
      <w:sz w:val="18"/>
      <w:szCs w:val="18"/>
    </w:rPr>
  </w:style>
  <w:style w:type="paragraph" w:styleId="25">
    <w:name w:val="footer"/>
    <w:basedOn w:val="1"/>
    <w:qFormat/>
    <w:uiPriority w:val="0"/>
    <w:pPr>
      <w:tabs>
        <w:tab w:val="center" w:pos="4153"/>
        <w:tab w:val="right" w:pos="8306"/>
      </w:tabs>
      <w:snapToGrid w:val="0"/>
      <w:jc w:val="left"/>
    </w:pPr>
    <w:rPr>
      <w:sz w:val="18"/>
      <w:szCs w:val="18"/>
    </w:rPr>
  </w:style>
  <w:style w:type="paragraph" w:styleId="26">
    <w:name w:val="header"/>
    <w:basedOn w:val="1"/>
    <w:link w:val="162"/>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semiHidden/>
    <w:qFormat/>
    <w:uiPriority w:val="0"/>
  </w:style>
  <w:style w:type="paragraph" w:styleId="28">
    <w:name w:val="toc 4"/>
    <w:basedOn w:val="1"/>
    <w:next w:val="1"/>
    <w:semiHidden/>
    <w:qFormat/>
    <w:uiPriority w:val="0"/>
    <w:pPr>
      <w:tabs>
        <w:tab w:val="right" w:leader="dot" w:pos="8314"/>
      </w:tabs>
      <w:ind w:firstLine="588" w:firstLineChars="245"/>
    </w:pPr>
  </w:style>
  <w:style w:type="paragraph" w:styleId="29">
    <w:name w:val="Body Text Indent 3"/>
    <w:basedOn w:val="1"/>
    <w:qFormat/>
    <w:uiPriority w:val="0"/>
    <w:pPr>
      <w:spacing w:after="120"/>
      <w:ind w:left="420" w:leftChars="200"/>
    </w:pPr>
    <w:rPr>
      <w:sz w:val="16"/>
      <w:szCs w:val="16"/>
    </w:rPr>
  </w:style>
  <w:style w:type="paragraph" w:styleId="30">
    <w:name w:val="toc 2"/>
    <w:basedOn w:val="1"/>
    <w:next w:val="1"/>
    <w:semiHidden/>
    <w:qFormat/>
    <w:uiPriority w:val="0"/>
    <w:pPr>
      <w:ind w:left="420" w:leftChars="200"/>
    </w:pPr>
  </w:style>
  <w:style w:type="paragraph" w:styleId="31">
    <w:name w:val="Body Text 2"/>
    <w:basedOn w:val="1"/>
    <w:link w:val="129"/>
    <w:qFormat/>
    <w:uiPriority w:val="0"/>
    <w:pPr>
      <w:widowControl/>
      <w:spacing w:after="120" w:afterLines="50" w:line="216" w:lineRule="auto"/>
      <w:jc w:val="center"/>
    </w:pPr>
    <w:rPr>
      <w:rFonts w:ascii="隶书" w:eastAsia="隶书"/>
      <w:bCs/>
      <w:kern w:val="0"/>
      <w:sz w:val="72"/>
      <w:szCs w:val="84"/>
    </w:rPr>
  </w:style>
  <w:style w:type="paragraph" w:styleId="32">
    <w:name w:val="List Continue 2"/>
    <w:basedOn w:val="1"/>
    <w:qFormat/>
    <w:uiPriority w:val="0"/>
    <w:pPr>
      <w:spacing w:after="120"/>
      <w:ind w:left="840" w:leftChars="400"/>
    </w:pPr>
  </w:style>
  <w:style w:type="paragraph" w:styleId="33">
    <w:name w:val="HTML Preformatted"/>
    <w:basedOn w:val="1"/>
    <w:link w:val="163"/>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34">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5">
    <w:name w:val="index 1"/>
    <w:basedOn w:val="1"/>
    <w:next w:val="1"/>
    <w:semiHidden/>
    <w:qFormat/>
    <w:uiPriority w:val="0"/>
    <w:pPr>
      <w:spacing w:line="320" w:lineRule="exact"/>
    </w:pPr>
    <w:rPr>
      <w:b/>
      <w:snapToGrid w:val="0"/>
      <w:color w:val="FF6600"/>
      <w:kern w:val="0"/>
      <w:sz w:val="18"/>
      <w:szCs w:val="21"/>
    </w:rPr>
  </w:style>
  <w:style w:type="paragraph" w:styleId="36">
    <w:name w:val="Title"/>
    <w:basedOn w:val="1"/>
    <w:link w:val="148"/>
    <w:qFormat/>
    <w:uiPriority w:val="0"/>
    <w:pPr>
      <w:adjustRightInd w:val="0"/>
      <w:spacing w:before="240" w:after="60" w:line="360" w:lineRule="auto"/>
      <w:jc w:val="center"/>
      <w:textAlignment w:val="baseline"/>
      <w:outlineLvl w:val="0"/>
    </w:pPr>
    <w:rPr>
      <w:rFonts w:ascii="Arial" w:hAnsi="Arial" w:eastAsia="仿宋"/>
      <w:b/>
      <w:bCs/>
      <w:kern w:val="0"/>
      <w:sz w:val="32"/>
      <w:szCs w:val="32"/>
    </w:rPr>
  </w:style>
  <w:style w:type="paragraph" w:styleId="37">
    <w:name w:val="annotation subject"/>
    <w:basedOn w:val="16"/>
    <w:next w:val="16"/>
    <w:semiHidden/>
    <w:qFormat/>
    <w:uiPriority w:val="0"/>
    <w:pPr>
      <w:widowControl/>
      <w:spacing w:after="50" w:afterLines="50"/>
    </w:pPr>
    <w:rPr>
      <w:b/>
      <w:bCs/>
      <w:kern w:val="0"/>
      <w:sz w:val="24"/>
      <w:szCs w:val="20"/>
    </w:rPr>
  </w:style>
  <w:style w:type="paragraph" w:styleId="38">
    <w:name w:val="Body Text First Indent"/>
    <w:basedOn w:val="17"/>
    <w:qFormat/>
    <w:uiPriority w:val="0"/>
    <w:pPr>
      <w:spacing w:after="120" w:line="240" w:lineRule="auto"/>
      <w:ind w:firstLine="420" w:firstLineChars="100"/>
    </w:pPr>
    <w:rPr>
      <w:rFonts w:eastAsia="宋体"/>
      <w:sz w:val="21"/>
    </w:rPr>
  </w:style>
  <w:style w:type="paragraph" w:styleId="39">
    <w:name w:val="Body Text First Indent 2"/>
    <w:basedOn w:val="18"/>
    <w:link w:val="146"/>
    <w:qFormat/>
    <w:uiPriority w:val="0"/>
    <w:pPr>
      <w:ind w:firstLine="420" w:firstLineChars="200"/>
    </w:pPr>
  </w:style>
  <w:style w:type="table" w:styleId="41">
    <w:name w:val="Table Grid"/>
    <w:basedOn w:val="4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3">
    <w:name w:val="Strong"/>
    <w:qFormat/>
    <w:uiPriority w:val="0"/>
    <w:rPr>
      <w:b/>
      <w:bCs/>
    </w:rPr>
  </w:style>
  <w:style w:type="character" w:styleId="44">
    <w:name w:val="page number"/>
    <w:basedOn w:val="42"/>
    <w:qFormat/>
    <w:uiPriority w:val="0"/>
  </w:style>
  <w:style w:type="character" w:styleId="45">
    <w:name w:val="FollowedHyperlink"/>
    <w:qFormat/>
    <w:uiPriority w:val="0"/>
    <w:rPr>
      <w:color w:val="800080"/>
      <w:u w:val="single"/>
    </w:rPr>
  </w:style>
  <w:style w:type="character" w:styleId="46">
    <w:name w:val="Emphasis"/>
    <w:qFormat/>
    <w:uiPriority w:val="0"/>
    <w:rPr>
      <w:color w:val="CC0000"/>
    </w:rPr>
  </w:style>
  <w:style w:type="character" w:styleId="47">
    <w:name w:val="Hyperlink"/>
    <w:qFormat/>
    <w:uiPriority w:val="0"/>
    <w:rPr>
      <w:color w:val="0000FF"/>
      <w:u w:val="single"/>
    </w:rPr>
  </w:style>
  <w:style w:type="character" w:styleId="48">
    <w:name w:val="annotation reference"/>
    <w:semiHidden/>
    <w:qFormat/>
    <w:uiPriority w:val="0"/>
    <w:rPr>
      <w:sz w:val="21"/>
      <w:szCs w:val="21"/>
    </w:rPr>
  </w:style>
  <w:style w:type="paragraph" w:customStyle="1" w:styleId="49">
    <w:name w:val="Heading1"/>
    <w:basedOn w:val="1"/>
    <w:next w:val="1"/>
    <w:qFormat/>
    <w:uiPriority w:val="0"/>
    <w:pPr>
      <w:keepNext/>
      <w:keepLines/>
      <w:widowControl/>
      <w:numPr>
        <w:ilvl w:val="0"/>
        <w:numId w:val="5"/>
      </w:numPr>
      <w:spacing w:before="340" w:after="330" w:line="240" w:lineRule="auto"/>
      <w:ind w:firstLineChars="0"/>
      <w:jc w:val="center"/>
      <w:textAlignment w:val="baseline"/>
    </w:pPr>
    <w:rPr>
      <w:rFonts w:ascii="等线" w:hAnsi="等线" w:cs="Times New Roman"/>
      <w:b/>
      <w:bCs/>
      <w:kern w:val="44"/>
      <w:sz w:val="44"/>
      <w:szCs w:val="44"/>
      <w:lang w:val="en-US" w:eastAsia="zh-CN" w:bidi="ar-SA"/>
    </w:rPr>
  </w:style>
  <w:style w:type="paragraph" w:customStyle="1" w:styleId="5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1">
    <w:name w:val="Char Char Char Char Char Char"/>
    <w:basedOn w:val="1"/>
    <w:qFormat/>
    <w:uiPriority w:val="0"/>
    <w:pPr>
      <w:widowControl/>
      <w:spacing w:before="100" w:beforeAutospacing="1" w:after="160" w:line="240" w:lineRule="exact"/>
      <w:jc w:val="left"/>
    </w:pPr>
    <w:rPr>
      <w:sz w:val="24"/>
    </w:rPr>
  </w:style>
  <w:style w:type="paragraph" w:customStyle="1" w:styleId="52">
    <w:name w:val="Char Char Char"/>
    <w:basedOn w:val="15"/>
    <w:qFormat/>
    <w:uiPriority w:val="0"/>
    <w:rPr>
      <w:rFonts w:ascii="Tahoma" w:hAnsi="Tahoma"/>
      <w:sz w:val="24"/>
    </w:rPr>
  </w:style>
  <w:style w:type="paragraph" w:customStyle="1" w:styleId="53">
    <w:name w:val="缺省文本"/>
    <w:basedOn w:val="1"/>
    <w:qFormat/>
    <w:uiPriority w:val="0"/>
    <w:pPr>
      <w:autoSpaceDE w:val="0"/>
      <w:autoSpaceDN w:val="0"/>
      <w:adjustRightInd w:val="0"/>
      <w:jc w:val="left"/>
    </w:pPr>
    <w:rPr>
      <w:kern w:val="0"/>
      <w:sz w:val="24"/>
    </w:rPr>
  </w:style>
  <w:style w:type="paragraph" w:customStyle="1" w:styleId="54">
    <w:name w:val="Table Text"/>
    <w:link w:val="139"/>
    <w:qFormat/>
    <w:uiPriority w:val="0"/>
    <w:pPr>
      <w:snapToGrid w:val="0"/>
      <w:spacing w:before="80" w:after="80"/>
    </w:pPr>
    <w:rPr>
      <w:rFonts w:ascii="Arial" w:hAnsi="Arial" w:eastAsia="宋体" w:cs="Times New Roman"/>
      <w:sz w:val="18"/>
      <w:lang w:val="en-US" w:eastAsia="zh-CN" w:bidi="ar-SA"/>
    </w:rPr>
  </w:style>
  <w:style w:type="paragraph" w:customStyle="1" w:styleId="5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56">
    <w:name w:val="样式6"/>
    <w:basedOn w:val="1"/>
    <w:qFormat/>
    <w:uiPriority w:val="0"/>
    <w:pPr>
      <w:spacing w:line="360" w:lineRule="auto"/>
      <w:ind w:firstLine="200" w:firstLineChars="200"/>
      <w:jc w:val="left"/>
    </w:pPr>
    <w:rPr>
      <w:sz w:val="24"/>
    </w:rPr>
  </w:style>
  <w:style w:type="paragraph" w:customStyle="1" w:styleId="57">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58">
    <w:name w:val="Char Char2 Char Char Char Char"/>
    <w:basedOn w:val="15"/>
    <w:qFormat/>
    <w:uiPriority w:val="0"/>
    <w:rPr>
      <w:rFonts w:ascii="Tahoma" w:hAnsi="Tahoma"/>
      <w:sz w:val="24"/>
    </w:rPr>
  </w:style>
  <w:style w:type="paragraph" w:customStyle="1" w:styleId="59">
    <w:name w:val="正文 1.1"/>
    <w:basedOn w:val="1"/>
    <w:next w:val="60"/>
    <w:qFormat/>
    <w:uiPriority w:val="0"/>
    <w:pPr>
      <w:numPr>
        <w:ilvl w:val="1"/>
        <w:numId w:val="6"/>
      </w:numPr>
      <w:tabs>
        <w:tab w:val="clear" w:pos="851"/>
      </w:tabs>
      <w:adjustRightInd w:val="0"/>
      <w:spacing w:line="360" w:lineRule="auto"/>
      <w:ind w:left="980" w:hanging="980" w:hangingChars="350"/>
      <w:textAlignment w:val="baseline"/>
      <w:outlineLvl w:val="1"/>
    </w:pPr>
    <w:rPr>
      <w:rFonts w:ascii="仿宋" w:hAnsi="仿宋" w:eastAsia="仿宋"/>
      <w:b/>
      <w:kern w:val="0"/>
      <w:sz w:val="28"/>
      <w:szCs w:val="21"/>
    </w:rPr>
  </w:style>
  <w:style w:type="paragraph" w:customStyle="1" w:styleId="60">
    <w:name w:val="正文 1.1.1"/>
    <w:basedOn w:val="1"/>
    <w:next w:val="1"/>
    <w:qFormat/>
    <w:uiPriority w:val="0"/>
    <w:pPr>
      <w:numPr>
        <w:ilvl w:val="2"/>
        <w:numId w:val="6"/>
      </w:numPr>
      <w:adjustRightInd w:val="0"/>
      <w:spacing w:line="360" w:lineRule="auto"/>
      <w:textAlignment w:val="baseline"/>
      <w:outlineLvl w:val="2"/>
    </w:pPr>
    <w:rPr>
      <w:rFonts w:ascii="宋体" w:hAnsi="宋体"/>
      <w:color w:val="FF0000"/>
      <w:kern w:val="0"/>
      <w:sz w:val="28"/>
      <w:szCs w:val="21"/>
    </w:rPr>
  </w:style>
  <w:style w:type="paragraph" w:customStyle="1" w:styleId="61">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2">
    <w:name w:val=" Char Char Char Char Char Char Char Char Char Char"/>
    <w:basedOn w:val="1"/>
    <w:qFormat/>
    <w:uiPriority w:val="0"/>
    <w:rPr>
      <w:rFonts w:ascii="Tahoma" w:hAnsi="Tahoma"/>
      <w:sz w:val="24"/>
      <w:szCs w:val="20"/>
    </w:rPr>
  </w:style>
  <w:style w:type="paragraph" w:customStyle="1" w:styleId="63">
    <w:name w:val="项目排列"/>
    <w:basedOn w:val="1"/>
    <w:link w:val="113"/>
    <w:qFormat/>
    <w:uiPriority w:val="0"/>
    <w:pPr>
      <w:numPr>
        <w:ilvl w:val="0"/>
        <w:numId w:val="7"/>
      </w:numPr>
      <w:spacing w:before="50" w:beforeLines="50" w:after="50" w:afterLines="50" w:line="300" w:lineRule="auto"/>
    </w:pPr>
    <w:rPr>
      <w:sz w:val="24"/>
    </w:rPr>
  </w:style>
  <w:style w:type="paragraph" w:customStyle="1" w:styleId="64">
    <w:name w:val="p0"/>
    <w:basedOn w:val="1"/>
    <w:qFormat/>
    <w:uiPriority w:val="0"/>
    <w:pPr>
      <w:widowControl/>
    </w:pPr>
    <w:rPr>
      <w:kern w:val="0"/>
      <w:szCs w:val="21"/>
    </w:rPr>
  </w:style>
  <w:style w:type="paragraph" w:customStyle="1" w:styleId="65">
    <w:name w:val="_Style 68"/>
    <w:basedOn w:val="1"/>
    <w:qFormat/>
    <w:uiPriority w:val="0"/>
    <w:rPr>
      <w:rFonts w:ascii="Tahoma" w:hAnsi="Tahoma"/>
      <w:sz w:val="24"/>
      <w:szCs w:val="20"/>
    </w:rPr>
  </w:style>
  <w:style w:type="paragraph" w:customStyle="1" w:styleId="66">
    <w:name w:val="正文段"/>
    <w:basedOn w:val="1"/>
    <w:qFormat/>
    <w:uiPriority w:val="0"/>
    <w:pPr>
      <w:widowControl/>
      <w:snapToGrid w:val="0"/>
      <w:spacing w:after="50" w:afterLines="50"/>
      <w:ind w:firstLine="200" w:firstLineChars="200"/>
    </w:pPr>
    <w:rPr>
      <w:kern w:val="0"/>
      <w:sz w:val="24"/>
      <w:szCs w:val="20"/>
    </w:rPr>
  </w:style>
  <w:style w:type="paragraph" w:customStyle="1" w:styleId="67">
    <w:name w:val="模板普通正文"/>
    <w:basedOn w:val="18"/>
    <w:qFormat/>
    <w:uiPriority w:val="0"/>
    <w:pPr>
      <w:spacing w:before="50" w:beforeLines="50" w:after="10" w:line="360" w:lineRule="auto"/>
      <w:ind w:left="0" w:leftChars="0" w:firstLine="175" w:firstLineChars="175"/>
      <w:jc w:val="left"/>
    </w:pPr>
    <w:rPr>
      <w:sz w:val="24"/>
    </w:rPr>
  </w:style>
  <w:style w:type="paragraph" w:customStyle="1" w:styleId="68">
    <w:name w:val="样式 正文缩进 + 首行缩进:  2 字符"/>
    <w:basedOn w:val="4"/>
    <w:link w:val="156"/>
    <w:qFormat/>
    <w:uiPriority w:val="0"/>
    <w:pPr>
      <w:spacing w:line="360" w:lineRule="auto"/>
      <w:ind w:firstLine="480"/>
    </w:pPr>
    <w:rPr>
      <w:rFonts w:ascii="宋体" w:hAnsi="宋体"/>
      <w:color w:val="000000"/>
      <w:kern w:val="0"/>
      <w:sz w:val="24"/>
      <w:szCs w:val="20"/>
    </w:rPr>
  </w:style>
  <w:style w:type="paragraph" w:customStyle="1" w:styleId="69">
    <w:name w:val="编10号"/>
    <w:basedOn w:val="1"/>
    <w:qFormat/>
    <w:uiPriority w:val="0"/>
    <w:pPr>
      <w:numPr>
        <w:ilvl w:val="3"/>
        <w:numId w:val="8"/>
      </w:numPr>
    </w:pPr>
  </w:style>
  <w:style w:type="paragraph" w:customStyle="1" w:styleId="70">
    <w:name w:val="表正文"/>
    <w:basedOn w:val="1"/>
    <w:next w:val="21"/>
    <w:qFormat/>
    <w:uiPriority w:val="0"/>
    <w:rPr>
      <w:rFonts w:ascii="宋体" w:hAnsi="Courier New"/>
      <w:szCs w:val="20"/>
    </w:rPr>
  </w:style>
  <w:style w:type="paragraph" w:customStyle="1" w:styleId="71">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2">
    <w:name w:val="Char"/>
    <w:basedOn w:val="1"/>
    <w:qFormat/>
    <w:uiPriority w:val="0"/>
    <w:rPr>
      <w:rFonts w:ascii="仿宋_GB2312" w:eastAsia="仿宋_GB2312"/>
      <w:b/>
      <w:sz w:val="32"/>
      <w:szCs w:val="32"/>
    </w:rPr>
  </w:style>
  <w:style w:type="paragraph" w:customStyle="1" w:styleId="73">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74">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75">
    <w:name w:val=" Char1"/>
    <w:basedOn w:val="1"/>
    <w:qFormat/>
    <w:uiPriority w:val="0"/>
    <w:rPr>
      <w:szCs w:val="20"/>
    </w:rPr>
  </w:style>
  <w:style w:type="paragraph" w:customStyle="1" w:styleId="76">
    <w:name w:val="Char Char Char 字元 字元"/>
    <w:basedOn w:val="1"/>
    <w:qFormat/>
    <w:uiPriority w:val="0"/>
    <w:pPr>
      <w:spacing w:line="360" w:lineRule="auto"/>
      <w:ind w:firstLine="200" w:firstLineChars="200"/>
    </w:pPr>
    <w:rPr>
      <w:szCs w:val="20"/>
    </w:rPr>
  </w:style>
  <w:style w:type="paragraph" w:customStyle="1" w:styleId="77">
    <w:name w:val="默认段落字体 Para Char Char Char Char Char Char Char Char Char1 Char Char Char Char"/>
    <w:basedOn w:val="1"/>
    <w:qFormat/>
    <w:uiPriority w:val="0"/>
    <w:rPr>
      <w:rFonts w:ascii="Tahoma" w:hAnsi="Tahoma"/>
      <w:sz w:val="24"/>
      <w:szCs w:val="20"/>
    </w:rPr>
  </w:style>
  <w:style w:type="paragraph" w:customStyle="1" w:styleId="78">
    <w:name w:val="项目1"/>
    <w:basedOn w:val="1"/>
    <w:qFormat/>
    <w:uiPriority w:val="0"/>
    <w:pPr>
      <w:tabs>
        <w:tab w:val="left" w:pos="840"/>
      </w:tabs>
      <w:spacing w:after="60"/>
      <w:ind w:left="840" w:hanging="420"/>
    </w:pPr>
    <w:rPr>
      <w:rFonts w:ascii="宋体"/>
      <w:spacing w:val="4"/>
      <w:szCs w:val="20"/>
    </w:rPr>
  </w:style>
  <w:style w:type="paragraph" w:customStyle="1" w:styleId="79">
    <w:name w:val="正文无缩进"/>
    <w:basedOn w:val="1"/>
    <w:link w:val="141"/>
    <w:qFormat/>
    <w:uiPriority w:val="0"/>
    <w:pPr>
      <w:spacing w:line="360" w:lineRule="auto"/>
    </w:pPr>
    <w:rPr>
      <w:rFonts w:ascii="宋体"/>
      <w:color w:val="000000"/>
      <w:sz w:val="24"/>
    </w:rPr>
  </w:style>
  <w:style w:type="paragraph" w:customStyle="1" w:styleId="80">
    <w:name w:val="段"/>
    <w:basedOn w:val="1"/>
    <w:qFormat/>
    <w:uiPriority w:val="0"/>
    <w:pPr>
      <w:ind w:firstLine="425"/>
    </w:pPr>
    <w:rPr>
      <w:rFonts w:ascii="宋体"/>
      <w:szCs w:val="20"/>
    </w:rPr>
  </w:style>
  <w:style w:type="paragraph" w:customStyle="1" w:styleId="81">
    <w:name w:val="默认段落字体 Para Char Char Char Char"/>
    <w:basedOn w:val="1"/>
    <w:qFormat/>
    <w:uiPriority w:val="0"/>
  </w:style>
  <w:style w:type="paragraph" w:customStyle="1" w:styleId="82">
    <w:name w:val="自定义表格文字"/>
    <w:basedOn w:val="1"/>
    <w:qFormat/>
    <w:uiPriority w:val="0"/>
    <w:pPr>
      <w:spacing w:before="60" w:after="60" w:line="320" w:lineRule="exact"/>
      <w:jc w:val="left"/>
    </w:pPr>
    <w:rPr>
      <w:rFonts w:ascii="宋体" w:eastAsia="楷体_GB2312"/>
    </w:rPr>
  </w:style>
  <w:style w:type="paragraph" w:customStyle="1" w:styleId="83">
    <w:name w:val="标准文本"/>
    <w:basedOn w:val="1"/>
    <w:link w:val="137"/>
    <w:qFormat/>
    <w:uiPriority w:val="0"/>
    <w:pPr>
      <w:spacing w:line="360" w:lineRule="auto"/>
      <w:ind w:firstLine="480" w:firstLineChars="200"/>
    </w:pPr>
    <w:rPr>
      <w:rFonts w:cs="宋体"/>
      <w:sz w:val="24"/>
      <w:szCs w:val="20"/>
    </w:rPr>
  </w:style>
  <w:style w:type="paragraph" w:customStyle="1" w:styleId="84">
    <w:name w:val="Normal"/>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85">
    <w:name w:val=" Char"/>
    <w:basedOn w:val="1"/>
    <w:qFormat/>
    <w:uiPriority w:val="0"/>
    <w:pPr>
      <w:tabs>
        <w:tab w:val="left" w:pos="432"/>
      </w:tabs>
      <w:spacing w:before="156" w:beforeLines="50" w:after="156" w:afterLines="50"/>
      <w:ind w:left="432" w:hanging="432"/>
      <w:jc w:val="center"/>
    </w:pPr>
    <w:rPr>
      <w:sz w:val="24"/>
    </w:rPr>
  </w:style>
  <w:style w:type="paragraph" w:customStyle="1" w:styleId="86">
    <w:name w:val="自定义正文"/>
    <w:basedOn w:val="1"/>
    <w:link w:val="128"/>
    <w:qFormat/>
    <w:uiPriority w:val="0"/>
    <w:pPr>
      <w:spacing w:line="480" w:lineRule="exact"/>
      <w:ind w:firstLine="200" w:firstLineChars="200"/>
      <w:jc w:val="left"/>
    </w:pPr>
    <w:rPr>
      <w:rFonts w:ascii="仿宋_GB2312" w:eastAsia="仿宋_GB2312"/>
      <w:sz w:val="28"/>
    </w:rPr>
  </w:style>
  <w:style w:type="paragraph" w:customStyle="1" w:styleId="87">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8">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89">
    <w:name w:val="Char1 Char Char Char Char Char Char"/>
    <w:basedOn w:val="1"/>
    <w:qFormat/>
    <w:uiPriority w:val="0"/>
    <w:rPr>
      <w:rFonts w:ascii="Tahoma" w:hAnsi="Tahoma"/>
      <w:sz w:val="24"/>
      <w:szCs w:val="20"/>
    </w:rPr>
  </w:style>
  <w:style w:type="paragraph" w:customStyle="1" w:styleId="90">
    <w:name w:val="WW-正文文字缩进 2"/>
    <w:basedOn w:val="1"/>
    <w:qFormat/>
    <w:uiPriority w:val="0"/>
    <w:pPr>
      <w:suppressAutoHyphens/>
      <w:ind w:firstLine="420"/>
    </w:pPr>
    <w:rPr>
      <w:kern w:val="1"/>
      <w:szCs w:val="20"/>
    </w:rPr>
  </w:style>
  <w:style w:type="paragraph" w:customStyle="1" w:styleId="91">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92">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paragraph" w:customStyle="1" w:styleId="93">
    <w:name w:val="Char Char Char Char"/>
    <w:basedOn w:val="1"/>
    <w:qFormat/>
    <w:uiPriority w:val="0"/>
    <w:pPr>
      <w:widowControl/>
      <w:spacing w:after="160" w:line="240" w:lineRule="exact"/>
      <w:jc w:val="left"/>
    </w:pPr>
    <w:rPr>
      <w:kern w:val="0"/>
      <w:sz w:val="24"/>
    </w:rPr>
  </w:style>
  <w:style w:type="paragraph" w:customStyle="1" w:styleId="94">
    <w:name w:val="正文（缩进2汉字）"/>
    <w:basedOn w:val="1"/>
    <w:link w:val="154"/>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95">
    <w:name w:val="Char Char Char Char1"/>
    <w:basedOn w:val="1"/>
    <w:qFormat/>
    <w:uiPriority w:val="0"/>
    <w:rPr>
      <w:rFonts w:ascii="Tahoma" w:hAnsi="Tahoma"/>
      <w:sz w:val="24"/>
      <w:szCs w:val="20"/>
    </w:rPr>
  </w:style>
  <w:style w:type="paragraph" w:customStyle="1" w:styleId="96">
    <w:name w:val="表格"/>
    <w:basedOn w:val="1"/>
    <w:link w:val="160"/>
    <w:qFormat/>
    <w:uiPriority w:val="0"/>
    <w:pPr>
      <w:snapToGrid w:val="0"/>
      <w:ind w:firstLine="42" w:firstLineChars="21"/>
    </w:pPr>
    <w:rPr>
      <w:rFonts w:ascii="宋体" w:hAnsi="宋体"/>
      <w:kern w:val="0"/>
      <w:sz w:val="20"/>
      <w:szCs w:val="20"/>
    </w:rPr>
  </w:style>
  <w:style w:type="paragraph" w:customStyle="1" w:styleId="97">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98">
    <w:name w:val="正文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99">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100">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01">
    <w:name w:val="表内文字"/>
    <w:basedOn w:val="1"/>
    <w:qFormat/>
    <w:uiPriority w:val="0"/>
    <w:pPr>
      <w:jc w:val="center"/>
    </w:pPr>
    <w:rPr>
      <w:color w:val="FF0000"/>
      <w:kern w:val="0"/>
      <w:sz w:val="24"/>
    </w:rPr>
  </w:style>
  <w:style w:type="paragraph" w:customStyle="1" w:styleId="102">
    <w:name w:val="xl25"/>
    <w:basedOn w:val="1"/>
    <w:qFormat/>
    <w:uiPriority w:val="0"/>
    <w:pPr>
      <w:widowControl/>
      <w:numPr>
        <w:ilvl w:val="0"/>
        <w:numId w:val="9"/>
      </w:numPr>
      <w:tabs>
        <w:tab w:val="clear" w:pos="840"/>
      </w:tabs>
      <w:spacing w:before="100" w:beforeAutospacing="1" w:after="100" w:afterAutospacing="1"/>
      <w:ind w:left="0" w:firstLine="0"/>
      <w:jc w:val="center"/>
      <w:textAlignment w:val="center"/>
    </w:pPr>
    <w:rPr>
      <w:rFonts w:ascii="宋体" w:hAnsi="宋体"/>
      <w:kern w:val="0"/>
      <w:sz w:val="20"/>
      <w:szCs w:val="20"/>
    </w:rPr>
  </w:style>
  <w:style w:type="paragraph" w:customStyle="1" w:styleId="103">
    <w:name w:val="Char Char1 Char Char Char Char Char Char"/>
    <w:basedOn w:val="1"/>
    <w:qFormat/>
    <w:uiPriority w:val="0"/>
    <w:pPr>
      <w:widowControl/>
      <w:spacing w:after="160" w:line="240" w:lineRule="exact"/>
      <w:jc w:val="left"/>
    </w:pPr>
  </w:style>
  <w:style w:type="paragraph" w:customStyle="1" w:styleId="104">
    <w:name w:val="Char Char1 Char Char Char Char1 Char Char Char"/>
    <w:basedOn w:val="1"/>
    <w:qFormat/>
    <w:uiPriority w:val="0"/>
    <w:pPr>
      <w:adjustRightInd w:val="0"/>
      <w:spacing w:line="360" w:lineRule="atLeast"/>
    </w:pPr>
    <w:rPr>
      <w:rFonts w:ascii="Tahoma" w:hAnsi="Tahoma"/>
      <w:sz w:val="24"/>
      <w:szCs w:val="20"/>
    </w:rPr>
  </w:style>
  <w:style w:type="paragraph" w:customStyle="1" w:styleId="105">
    <w:name w:val="第四级"/>
    <w:basedOn w:val="1"/>
    <w:next w:val="1"/>
    <w:qFormat/>
    <w:uiPriority w:val="0"/>
    <w:pPr>
      <w:numPr>
        <w:ilvl w:val="3"/>
        <w:numId w:val="6"/>
      </w:numPr>
      <w:adjustRightInd w:val="0"/>
      <w:spacing w:line="360" w:lineRule="auto"/>
      <w:textAlignment w:val="baseline"/>
    </w:pPr>
    <w:rPr>
      <w:rFonts w:ascii="宋体" w:hAnsi="宋体" w:eastAsia="仿宋"/>
      <w:kern w:val="0"/>
      <w:sz w:val="28"/>
      <w:szCs w:val="21"/>
    </w:rPr>
  </w:style>
  <w:style w:type="paragraph" w:customStyle="1" w:styleId="106">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07">
    <w:name w:val="List Paragraph1"/>
    <w:basedOn w:val="1"/>
    <w:qFormat/>
    <w:uiPriority w:val="0"/>
    <w:pPr>
      <w:ind w:firstLine="420" w:firstLineChars="200"/>
    </w:pPr>
    <w:rPr>
      <w:rFonts w:ascii="Calibri" w:hAnsi="Calibri"/>
      <w:szCs w:val="22"/>
    </w:rPr>
  </w:style>
  <w:style w:type="paragraph" w:customStyle="1" w:styleId="108">
    <w:name w:val="正文缩进 New"/>
    <w:basedOn w:val="1"/>
    <w:qFormat/>
    <w:uiPriority w:val="0"/>
    <w:pPr>
      <w:ind w:firstLine="420" w:firstLineChars="200"/>
    </w:pPr>
    <w:rPr>
      <w:szCs w:val="20"/>
    </w:rPr>
  </w:style>
  <w:style w:type="paragraph" w:customStyle="1" w:styleId="109">
    <w:name w:val=" Char Char Char1 Char Char Char1 Char Char Char Char"/>
    <w:basedOn w:val="1"/>
    <w:qFormat/>
    <w:uiPriority w:val="0"/>
  </w:style>
  <w:style w:type="paragraph" w:customStyle="1" w:styleId="110">
    <w:name w:val="正文2"/>
    <w:basedOn w:val="1"/>
    <w:link w:val="133"/>
    <w:qFormat/>
    <w:uiPriority w:val="0"/>
    <w:pPr>
      <w:spacing w:before="156" w:line="360" w:lineRule="auto"/>
      <w:ind w:firstLine="510" w:firstLineChars="200"/>
    </w:pPr>
    <w:rPr>
      <w:sz w:val="24"/>
      <w:szCs w:val="20"/>
    </w:rPr>
  </w:style>
  <w:style w:type="paragraph" w:customStyle="1" w:styleId="111">
    <w:name w:val=" 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2">
    <w:name w:val="正文空2格  1."/>
    <w:basedOn w:val="1"/>
    <w:qFormat/>
    <w:uiPriority w:val="0"/>
    <w:pPr>
      <w:adjustRightInd w:val="0"/>
      <w:spacing w:line="360" w:lineRule="auto"/>
      <w:ind w:firstLine="480" w:firstLineChars="200"/>
      <w:textAlignment w:val="baseline"/>
    </w:pPr>
    <w:rPr>
      <w:rFonts w:ascii="宋体" w:eastAsia="仿宋" w:cs="宋体"/>
      <w:kern w:val="0"/>
      <w:sz w:val="28"/>
      <w:szCs w:val="20"/>
    </w:rPr>
  </w:style>
  <w:style w:type="character" w:customStyle="1" w:styleId="113">
    <w:name w:val="项目排列 Char"/>
    <w:link w:val="63"/>
    <w:qFormat/>
    <w:uiPriority w:val="0"/>
    <w:rPr>
      <w:kern w:val="2"/>
      <w:sz w:val="24"/>
      <w:szCs w:val="24"/>
    </w:rPr>
  </w:style>
  <w:style w:type="character" w:customStyle="1" w:styleId="114">
    <w:name w:val="标题 6 Char"/>
    <w:link w:val="8"/>
    <w:qFormat/>
    <w:uiPriority w:val="0"/>
    <w:rPr>
      <w:rFonts w:ascii="宋体" w:hAnsi="Arial" w:eastAsia="宋体"/>
      <w:sz w:val="24"/>
      <w:lang w:val="en-US" w:eastAsia="zh-CN" w:bidi="ar-SA"/>
    </w:rPr>
  </w:style>
  <w:style w:type="character" w:customStyle="1" w:styleId="115">
    <w:name w:val="style11"/>
    <w:qFormat/>
    <w:uiPriority w:val="0"/>
    <w:rPr>
      <w:b/>
      <w:bCs/>
      <w:color w:val="FF0000"/>
    </w:rPr>
  </w:style>
  <w:style w:type="character" w:customStyle="1" w:styleId="116">
    <w:name w:val="H4 Char"/>
    <w:qFormat/>
    <w:uiPriority w:val="0"/>
    <w:rPr>
      <w:rFonts w:ascii="宋体" w:hAnsi="宋体" w:eastAsia="黑体"/>
      <w:b/>
      <w:bCs/>
      <w:color w:val="000000"/>
      <w:spacing w:val="-4"/>
      <w:kern w:val="2"/>
      <w:sz w:val="24"/>
      <w:szCs w:val="30"/>
      <w:lang w:val="en-US" w:eastAsia="zh-CN" w:bidi="ar-SA"/>
    </w:rPr>
  </w:style>
  <w:style w:type="character" w:customStyle="1" w:styleId="117">
    <w:name w:val="标题 3 Char"/>
    <w:link w:val="5"/>
    <w:qFormat/>
    <w:uiPriority w:val="0"/>
    <w:rPr>
      <w:rFonts w:eastAsia="仿宋_GB2312"/>
      <w:b/>
      <w:kern w:val="2"/>
      <w:sz w:val="32"/>
    </w:rPr>
  </w:style>
  <w:style w:type="character" w:customStyle="1" w:styleId="118">
    <w:name w:val="font1"/>
    <w:qFormat/>
    <w:uiPriority w:val="0"/>
    <w:rPr>
      <w:color w:val="999999"/>
      <w:sz w:val="18"/>
      <w:szCs w:val="18"/>
      <w:u w:val="none"/>
    </w:rPr>
  </w:style>
  <w:style w:type="character" w:customStyle="1" w:styleId="119">
    <w:name w:val=" Char Char"/>
    <w:qFormat/>
    <w:uiPriority w:val="0"/>
    <w:rPr>
      <w:rFonts w:ascii="宋体" w:hAnsi="Courier New" w:eastAsia="宋体"/>
      <w:kern w:val="2"/>
      <w:sz w:val="21"/>
      <w:lang w:val="en-US" w:eastAsia="zh-CN" w:bidi="ar-SA"/>
    </w:rPr>
  </w:style>
  <w:style w:type="character" w:customStyle="1" w:styleId="120">
    <w:name w:val="标题 2 Char"/>
    <w:link w:val="3"/>
    <w:qFormat/>
    <w:uiPriority w:val="0"/>
    <w:rPr>
      <w:rFonts w:ascii="Arial" w:hAnsi="Arial" w:eastAsia="黑体"/>
      <w:b/>
      <w:kern w:val="2"/>
      <w:sz w:val="32"/>
    </w:rPr>
  </w:style>
  <w:style w:type="character" w:customStyle="1" w:styleId="121">
    <w:name w:val="批注文字 Char"/>
    <w:link w:val="16"/>
    <w:semiHidden/>
    <w:qFormat/>
    <w:uiPriority w:val="0"/>
    <w:rPr>
      <w:rFonts w:eastAsia="宋体"/>
      <w:kern w:val="2"/>
      <w:sz w:val="21"/>
      <w:szCs w:val="24"/>
      <w:lang w:val="en-US" w:eastAsia="zh-CN" w:bidi="ar-SA"/>
    </w:rPr>
  </w:style>
  <w:style w:type="character" w:customStyle="1" w:styleId="122">
    <w:name w:val="标题 5 Char"/>
    <w:link w:val="7"/>
    <w:qFormat/>
    <w:uiPriority w:val="0"/>
    <w:rPr>
      <w:sz w:val="24"/>
    </w:rPr>
  </w:style>
  <w:style w:type="character" w:customStyle="1" w:styleId="123">
    <w:name w:val="H5 Char"/>
    <w:qFormat/>
    <w:uiPriority w:val="0"/>
    <w:rPr>
      <w:rFonts w:ascii="Arial" w:hAnsi="Arial" w:eastAsia="宋体"/>
      <w:sz w:val="24"/>
      <w:lang w:val="en-US" w:eastAsia="zh-CN" w:bidi="ar-SA"/>
    </w:rPr>
  </w:style>
  <w:style w:type="character" w:customStyle="1" w:styleId="124">
    <w:name w:val="apple-style-span"/>
    <w:basedOn w:val="42"/>
    <w:qFormat/>
    <w:uiPriority w:val="0"/>
  </w:style>
  <w:style w:type="character" w:customStyle="1" w:styleId="125">
    <w:name w:val="NormalCharacter"/>
    <w:semiHidden/>
    <w:qFormat/>
    <w:uiPriority w:val="0"/>
    <w:rPr>
      <w:kern w:val="2"/>
      <w:sz w:val="21"/>
      <w:szCs w:val="24"/>
      <w:lang w:val="en-US" w:eastAsia="zh-CN" w:bidi="ar-SA"/>
    </w:rPr>
  </w:style>
  <w:style w:type="character" w:customStyle="1" w:styleId="126">
    <w:name w:val="标题 8 Char"/>
    <w:link w:val="10"/>
    <w:qFormat/>
    <w:uiPriority w:val="0"/>
    <w:rPr>
      <w:rFonts w:ascii="Arial" w:hAnsi="Arial" w:eastAsia="黑体"/>
      <w:sz w:val="24"/>
      <w:lang w:val="en-US" w:eastAsia="zh-CN" w:bidi="ar-SA"/>
    </w:rPr>
  </w:style>
  <w:style w:type="character" w:customStyle="1" w:styleId="127">
    <w:name w:val="bulletintext1"/>
    <w:qFormat/>
    <w:uiPriority w:val="0"/>
    <w:rPr>
      <w:rFonts w:hint="eastAsia" w:ascii="宋体" w:hAnsi="宋体" w:eastAsia="宋体"/>
      <w:sz w:val="18"/>
      <w:szCs w:val="18"/>
    </w:rPr>
  </w:style>
  <w:style w:type="character" w:customStyle="1" w:styleId="128">
    <w:name w:val="自定义正文 Char"/>
    <w:link w:val="86"/>
    <w:qFormat/>
    <w:uiPriority w:val="0"/>
    <w:rPr>
      <w:rFonts w:ascii="仿宋_GB2312" w:eastAsia="仿宋_GB2312"/>
      <w:kern w:val="2"/>
      <w:sz w:val="28"/>
      <w:szCs w:val="24"/>
      <w:lang w:val="en-US" w:eastAsia="zh-CN" w:bidi="ar-SA"/>
    </w:rPr>
  </w:style>
  <w:style w:type="character" w:customStyle="1" w:styleId="129">
    <w:name w:val="正文文本 2 Char"/>
    <w:link w:val="31"/>
    <w:qFormat/>
    <w:uiPriority w:val="0"/>
    <w:rPr>
      <w:rFonts w:ascii="隶书" w:eastAsia="隶书"/>
      <w:bCs/>
      <w:sz w:val="72"/>
      <w:szCs w:val="84"/>
      <w:lang w:val="en-US" w:eastAsia="zh-CN" w:bidi="ar-SA"/>
    </w:rPr>
  </w:style>
  <w:style w:type="character" w:customStyle="1" w:styleId="130">
    <w:name w:val=" Char Char3"/>
    <w:qFormat/>
    <w:uiPriority w:val="0"/>
    <w:rPr>
      <w:rFonts w:eastAsia="仿宋_GB2312"/>
      <w:kern w:val="2"/>
      <w:sz w:val="28"/>
      <w:szCs w:val="24"/>
      <w:lang w:val="en-US" w:eastAsia="zh-CN" w:bidi="ar-SA"/>
    </w:rPr>
  </w:style>
  <w:style w:type="character" w:customStyle="1" w:styleId="131">
    <w:name w:val="日期 Char"/>
    <w:link w:val="22"/>
    <w:qFormat/>
    <w:uiPriority w:val="0"/>
    <w:rPr>
      <w:rFonts w:ascii="楷体_GB2312" w:eastAsia="楷体_GB2312"/>
      <w:b/>
      <w:kern w:val="2"/>
      <w:sz w:val="28"/>
      <w:lang w:val="en-US" w:eastAsia="zh-CN" w:bidi="ar-SA"/>
    </w:rPr>
  </w:style>
  <w:style w:type="character" w:customStyle="1" w:styleId="132">
    <w:name w:val="标题 4 Char"/>
    <w:link w:val="6"/>
    <w:qFormat/>
    <w:uiPriority w:val="0"/>
    <w:rPr>
      <w:rFonts w:ascii="Arial" w:hAnsi="Arial" w:eastAsia="黑体"/>
      <w:b/>
      <w:kern w:val="2"/>
      <w:sz w:val="28"/>
    </w:rPr>
  </w:style>
  <w:style w:type="character" w:customStyle="1" w:styleId="133">
    <w:name w:val="正文2 Char"/>
    <w:link w:val="110"/>
    <w:qFormat/>
    <w:uiPriority w:val="0"/>
    <w:rPr>
      <w:rFonts w:eastAsia="宋体"/>
      <w:kern w:val="2"/>
      <w:sz w:val="24"/>
      <w:lang w:val="en-US" w:eastAsia="zh-CN" w:bidi="ar-SA"/>
    </w:rPr>
  </w:style>
  <w:style w:type="character" w:customStyle="1" w:styleId="134">
    <w:name w:val="标题 9 Char"/>
    <w:link w:val="11"/>
    <w:qFormat/>
    <w:uiPriority w:val="0"/>
    <w:rPr>
      <w:rFonts w:ascii="Arial" w:hAnsi="Arial" w:eastAsia="黑体"/>
      <w:sz w:val="24"/>
      <w:lang w:val="en-US" w:eastAsia="zh-CN" w:bidi="ar-SA"/>
    </w:rPr>
  </w:style>
  <w:style w:type="character" w:customStyle="1" w:styleId="135">
    <w:name w:val="标题 1 Char"/>
    <w:link w:val="2"/>
    <w:qFormat/>
    <w:uiPriority w:val="0"/>
    <w:rPr>
      <w:rFonts w:eastAsia="仿宋_GB2312"/>
      <w:b/>
      <w:kern w:val="44"/>
      <w:sz w:val="44"/>
    </w:rPr>
  </w:style>
  <w:style w:type="character" w:customStyle="1" w:styleId="136">
    <w:name w:val="style21"/>
    <w:qFormat/>
    <w:uiPriority w:val="0"/>
    <w:rPr>
      <w:sz w:val="15"/>
      <w:szCs w:val="15"/>
    </w:rPr>
  </w:style>
  <w:style w:type="character" w:customStyle="1" w:styleId="137">
    <w:name w:val="标准文本 Char"/>
    <w:link w:val="83"/>
    <w:qFormat/>
    <w:uiPriority w:val="0"/>
    <w:rPr>
      <w:rFonts w:eastAsia="宋体" w:cs="宋体"/>
      <w:kern w:val="2"/>
      <w:sz w:val="24"/>
      <w:lang w:val="en-US" w:eastAsia="zh-CN" w:bidi="ar-SA"/>
    </w:rPr>
  </w:style>
  <w:style w:type="character" w:customStyle="1" w:styleId="138">
    <w:name w:val=" Char Char8"/>
    <w:qFormat/>
    <w:uiPriority w:val="0"/>
    <w:rPr>
      <w:rFonts w:ascii="宋体" w:eastAsia="宋体"/>
      <w:kern w:val="2"/>
      <w:sz w:val="28"/>
      <w:lang w:val="en-US" w:eastAsia="zh-CN" w:bidi="ar-SA"/>
    </w:rPr>
  </w:style>
  <w:style w:type="character" w:customStyle="1" w:styleId="139">
    <w:name w:val="Table Text Char1"/>
    <w:link w:val="54"/>
    <w:qFormat/>
    <w:uiPriority w:val="0"/>
    <w:rPr>
      <w:rFonts w:ascii="Arial" w:hAnsi="Arial"/>
      <w:sz w:val="18"/>
      <w:lang w:val="en-US" w:eastAsia="zh-CN" w:bidi="ar-SA"/>
    </w:rPr>
  </w:style>
  <w:style w:type="character" w:customStyle="1" w:styleId="140">
    <w:name w:val=" Char Char7"/>
    <w:qFormat/>
    <w:uiPriority w:val="0"/>
    <w:rPr>
      <w:rFonts w:eastAsia="仿宋_GB2312"/>
      <w:kern w:val="2"/>
      <w:sz w:val="24"/>
      <w:szCs w:val="24"/>
      <w:lang w:val="en-US" w:eastAsia="zh-CN" w:bidi="ar-SA"/>
    </w:rPr>
  </w:style>
  <w:style w:type="character" w:customStyle="1" w:styleId="141">
    <w:name w:val="正文无缩进 Char"/>
    <w:link w:val="79"/>
    <w:qFormat/>
    <w:uiPriority w:val="0"/>
    <w:rPr>
      <w:rFonts w:ascii="宋体" w:eastAsia="宋体"/>
      <w:color w:val="000000"/>
      <w:kern w:val="2"/>
      <w:sz w:val="24"/>
      <w:szCs w:val="24"/>
      <w:lang w:val="en-US" w:eastAsia="zh-CN" w:bidi="ar-SA"/>
    </w:rPr>
  </w:style>
  <w:style w:type="character" w:customStyle="1" w:styleId="142">
    <w:name w:val="正文文本 Char"/>
    <w:link w:val="17"/>
    <w:qFormat/>
    <w:locked/>
    <w:uiPriority w:val="0"/>
    <w:rPr>
      <w:rFonts w:eastAsia="仿宋_GB2312"/>
      <w:kern w:val="2"/>
      <w:sz w:val="28"/>
      <w:szCs w:val="24"/>
      <w:lang w:val="en-US" w:eastAsia="zh-CN" w:bidi="ar-SA"/>
    </w:rPr>
  </w:style>
  <w:style w:type="character" w:customStyle="1" w:styleId="143">
    <w:name w:val="Char Char10"/>
    <w:qFormat/>
    <w:uiPriority w:val="0"/>
    <w:rPr>
      <w:b/>
      <w:kern w:val="2"/>
      <w:sz w:val="28"/>
      <w:szCs w:val="28"/>
    </w:rPr>
  </w:style>
  <w:style w:type="character" w:customStyle="1" w:styleId="144">
    <w:name w:val="正文文本缩进 Char"/>
    <w:link w:val="18"/>
    <w:qFormat/>
    <w:uiPriority w:val="0"/>
    <w:rPr>
      <w:rFonts w:eastAsia="宋体"/>
      <w:kern w:val="2"/>
      <w:sz w:val="21"/>
      <w:szCs w:val="24"/>
      <w:lang w:val="en-US" w:eastAsia="zh-CN" w:bidi="ar-SA"/>
    </w:rPr>
  </w:style>
  <w:style w:type="character" w:customStyle="1" w:styleId="145">
    <w:name w:val="文档结构图 Char"/>
    <w:link w:val="15"/>
    <w:semiHidden/>
    <w:qFormat/>
    <w:uiPriority w:val="0"/>
    <w:rPr>
      <w:rFonts w:eastAsia="宋体"/>
      <w:kern w:val="2"/>
      <w:sz w:val="21"/>
      <w:szCs w:val="24"/>
      <w:lang w:val="en-US" w:eastAsia="zh-CN" w:bidi="ar-SA"/>
    </w:rPr>
  </w:style>
  <w:style w:type="character" w:customStyle="1" w:styleId="146">
    <w:name w:val="正文首行缩进 2 Char"/>
    <w:link w:val="39"/>
    <w:qFormat/>
    <w:uiPriority w:val="0"/>
    <w:rPr>
      <w:kern w:val="2"/>
      <w:sz w:val="21"/>
      <w:szCs w:val="24"/>
    </w:rPr>
  </w:style>
  <w:style w:type="character" w:customStyle="1" w:styleId="147">
    <w:name w:val="style51"/>
    <w:qFormat/>
    <w:uiPriority w:val="0"/>
    <w:rPr>
      <w:sz w:val="21"/>
      <w:szCs w:val="21"/>
    </w:rPr>
  </w:style>
  <w:style w:type="character" w:customStyle="1" w:styleId="148">
    <w:name w:val="标题 Char"/>
    <w:link w:val="36"/>
    <w:qFormat/>
    <w:uiPriority w:val="0"/>
    <w:rPr>
      <w:rFonts w:ascii="Arial" w:hAnsi="Arial" w:eastAsia="仿宋"/>
      <w:b/>
      <w:bCs/>
      <w:sz w:val="32"/>
      <w:szCs w:val="32"/>
    </w:rPr>
  </w:style>
  <w:style w:type="character" w:customStyle="1" w:styleId="149">
    <w:name w:val="info"/>
    <w:basedOn w:val="42"/>
    <w:qFormat/>
    <w:uiPriority w:val="0"/>
  </w:style>
  <w:style w:type="character" w:customStyle="1" w:styleId="150">
    <w:name w:val="正文缩进 Char"/>
    <w:link w:val="4"/>
    <w:qFormat/>
    <w:uiPriority w:val="0"/>
    <w:rPr>
      <w:rFonts w:eastAsia="宋体"/>
      <w:kern w:val="2"/>
      <w:sz w:val="21"/>
      <w:szCs w:val="24"/>
      <w:lang w:val="en-US" w:eastAsia="zh-CN" w:bidi="ar-SA"/>
    </w:rPr>
  </w:style>
  <w:style w:type="character" w:customStyle="1" w:styleId="151">
    <w:name w:val="tpc_content1"/>
    <w:qFormat/>
    <w:uiPriority w:val="0"/>
    <w:rPr>
      <w:sz w:val="20"/>
      <w:szCs w:val="20"/>
    </w:rPr>
  </w:style>
  <w:style w:type="character" w:customStyle="1" w:styleId="152">
    <w:name w:val="标题 7 Char"/>
    <w:link w:val="9"/>
    <w:qFormat/>
    <w:uiPriority w:val="0"/>
    <w:rPr>
      <w:rFonts w:ascii="宋体" w:hAnsi="Arial" w:eastAsia="宋体"/>
      <w:b/>
      <w:sz w:val="24"/>
      <w:lang w:val="en-US" w:eastAsia="zh-CN" w:bidi="ar-SA"/>
    </w:rPr>
  </w:style>
  <w:style w:type="character" w:customStyle="1" w:styleId="153">
    <w:name w:val="纯文本 Char"/>
    <w:link w:val="21"/>
    <w:qFormat/>
    <w:uiPriority w:val="99"/>
    <w:rPr>
      <w:rFonts w:ascii="宋体" w:hAnsi="Courier New" w:eastAsia="宋体"/>
      <w:kern w:val="2"/>
      <w:sz w:val="21"/>
      <w:lang w:val="en-US" w:eastAsia="zh-CN" w:bidi="ar-SA"/>
    </w:rPr>
  </w:style>
  <w:style w:type="character" w:customStyle="1" w:styleId="154">
    <w:name w:val="正文（缩进2汉字） Char"/>
    <w:link w:val="94"/>
    <w:qFormat/>
    <w:uiPriority w:val="0"/>
    <w:rPr>
      <w:rFonts w:ascii="宋体"/>
      <w:kern w:val="2"/>
      <w:sz w:val="21"/>
      <w:lang w:bidi="ar-SA"/>
    </w:rPr>
  </w:style>
  <w:style w:type="character" w:customStyle="1" w:styleId="155">
    <w:name w:val="Char Char"/>
    <w:qFormat/>
    <w:uiPriority w:val="0"/>
    <w:rPr>
      <w:rFonts w:hint="eastAsia" w:ascii="宋体" w:hAnsi="Courier New" w:eastAsia="宋体"/>
      <w:kern w:val="2"/>
      <w:sz w:val="21"/>
      <w:lang w:val="en-US" w:eastAsia="zh-CN" w:bidi="ar-SA"/>
    </w:rPr>
  </w:style>
  <w:style w:type="character" w:customStyle="1" w:styleId="156">
    <w:name w:val="样式 正文缩进 + 首行缩进:  2 字符 Char"/>
    <w:link w:val="68"/>
    <w:qFormat/>
    <w:locked/>
    <w:uiPriority w:val="0"/>
    <w:rPr>
      <w:rFonts w:ascii="宋体" w:hAnsi="宋体" w:eastAsia="宋体"/>
      <w:color w:val="000000"/>
      <w:sz w:val="24"/>
      <w:lang w:bidi="ar-SA"/>
    </w:rPr>
  </w:style>
  <w:style w:type="character" w:customStyle="1" w:styleId="157">
    <w:name w:val="纯文本 Char1"/>
    <w:qFormat/>
    <w:uiPriority w:val="0"/>
    <w:rPr>
      <w:rFonts w:ascii="宋体" w:hAnsi="Courier New" w:eastAsia="宋体" w:cs="Times New Roman"/>
      <w:szCs w:val="20"/>
    </w:rPr>
  </w:style>
  <w:style w:type="character" w:customStyle="1" w:styleId="158">
    <w:name w:val="ca-3"/>
    <w:basedOn w:val="42"/>
    <w:qFormat/>
    <w:uiPriority w:val="0"/>
  </w:style>
  <w:style w:type="character" w:customStyle="1" w:styleId="159">
    <w:name w:val="Char Char11"/>
    <w:qFormat/>
    <w:uiPriority w:val="0"/>
    <w:rPr>
      <w:b/>
      <w:kern w:val="44"/>
      <w:sz w:val="44"/>
    </w:rPr>
  </w:style>
  <w:style w:type="character" w:customStyle="1" w:styleId="160">
    <w:name w:val="表格 Char Char"/>
    <w:link w:val="96"/>
    <w:qFormat/>
    <w:locked/>
    <w:uiPriority w:val="0"/>
    <w:rPr>
      <w:rFonts w:ascii="宋体" w:hAnsi="宋体" w:eastAsia="宋体"/>
      <w:lang w:val="en-US" w:eastAsia="zh-CN" w:bidi="ar-SA"/>
    </w:rPr>
  </w:style>
  <w:style w:type="character" w:customStyle="1" w:styleId="161">
    <w:name w:val="Char Char9"/>
    <w:qFormat/>
    <w:uiPriority w:val="0"/>
    <w:rPr>
      <w:b/>
      <w:kern w:val="2"/>
      <w:sz w:val="24"/>
      <w:szCs w:val="24"/>
    </w:rPr>
  </w:style>
  <w:style w:type="character" w:customStyle="1" w:styleId="162">
    <w:name w:val="页眉 Char"/>
    <w:link w:val="26"/>
    <w:qFormat/>
    <w:uiPriority w:val="0"/>
    <w:rPr>
      <w:rFonts w:eastAsia="宋体"/>
      <w:kern w:val="2"/>
      <w:sz w:val="18"/>
      <w:szCs w:val="18"/>
      <w:lang w:val="en-US" w:eastAsia="zh-CN" w:bidi="ar-SA"/>
    </w:rPr>
  </w:style>
  <w:style w:type="character" w:customStyle="1" w:styleId="163">
    <w:name w:val="HTML 预设格式 Char"/>
    <w:link w:val="33"/>
    <w:qFormat/>
    <w:uiPriority w:val="0"/>
    <w:rPr>
      <w:rFonts w:ascii="黑体" w:hAnsi="Courier New" w:eastAsia="黑体" w:cs="Courier New"/>
    </w:rPr>
  </w:style>
  <w:style w:type="character" w:customStyle="1" w:styleId="164">
    <w:name w:val="正文文本缩进 2 Char"/>
    <w:link w:val="23"/>
    <w:qFormat/>
    <w:locked/>
    <w:uiPriority w:val="0"/>
    <w:rPr>
      <w:rFonts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2436</Words>
  <Characters>13891</Characters>
  <Lines>115</Lines>
  <Paragraphs>32</Paragraphs>
  <TotalTime>8</TotalTime>
  <ScaleCrop>false</ScaleCrop>
  <LinksUpToDate>false</LinksUpToDate>
  <CharactersWithSpaces>16295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2020-10-29T14:29:00Z</dcterms:created>
  <dc:creator>USER</dc:creator>
  <cp:lastModifiedBy>Administrator</cp:lastModifiedBy>
  <cp:lastPrinted>2021-06-18T09:27:00Z</cp:lastPrinted>
  <dcterms:modified xsi:type="dcterms:W3CDTF">2021-07-27T03:53:47Z</dcterms:modified>
  <dc:title>绍兴文理学院计算机机房设备及录播系统供货项目</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