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/>
        </w:rPr>
      </w:pPr>
      <w:r>
        <w:rPr>
          <w:rFonts w:hint="default" w:ascii="Times New Roman" w:hAnsi="黑体" w:eastAsia="黑体" w:cs="Times New Roman"/>
        </w:rPr>
        <w:t>附件</w:t>
      </w:r>
      <w:r>
        <w:rPr>
          <w:rFonts w:ascii="Times New Roman" w:hAnsi="Times New Roman" w:eastAsia="黑体" w:cs="Times New Roman"/>
        </w:rPr>
        <w:t>2</w:t>
      </w:r>
    </w:p>
    <w:p>
      <w:pPr>
        <w:adjustRightInd w:val="0"/>
        <w:snapToGrid w:val="0"/>
        <w:spacing w:line="580" w:lineRule="exact"/>
        <w:rPr>
          <w:rFonts w:ascii="Times New Roman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方正小标宋简体" w:eastAsia="方正小标宋简体" w:cs="Times New Roman"/>
          <w:sz w:val="44"/>
          <w:szCs w:val="44"/>
        </w:rPr>
        <w:t>绍兴市机动车驾驶人文明交通诚信管理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方正小标宋简体" w:eastAsia="方正小标宋简体" w:cs="Times New Roman"/>
          <w:sz w:val="44"/>
          <w:szCs w:val="44"/>
        </w:rPr>
        <w:t>评价细则（试行</w:t>
      </w:r>
      <w:bookmarkEnd w:id="0"/>
      <w:r>
        <w:rPr>
          <w:rFonts w:hint="default" w:ascii="Times New Roman" w:hAnsi="方正小标宋简体" w:eastAsia="方正小标宋简体" w:cs="Times New Roman"/>
          <w:sz w:val="44"/>
          <w:szCs w:val="44"/>
        </w:rPr>
        <w:t>）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bCs/>
          <w:color w:val="000000"/>
          <w:kern w:val="0"/>
          <w:lang w:bidi="ar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bCs/>
          <w:color w:val="000000"/>
          <w:kern w:val="0"/>
          <w:lang w:bidi="ar"/>
        </w:rPr>
      </w:pPr>
      <w:r>
        <w:rPr>
          <w:rFonts w:hint="default" w:ascii="Times New Roman" w:hAnsi="黑体" w:eastAsia="黑体" w:cs="Times New Roman"/>
          <w:bCs/>
          <w:color w:val="000000"/>
          <w:kern w:val="0"/>
          <w:lang w:bidi="ar"/>
        </w:rPr>
        <w:t>一、机动车驾驶人道路交通违法行为信息分类情况表</w:t>
      </w:r>
    </w:p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665"/>
        <w:gridCol w:w="7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轻微交通违法不良信息</w:t>
            </w: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不按所需行进方向驶入导向车道的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不按规定停放影响其他车辆和行人通行的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不按规定临时停车影响其他车辆和行人通行的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机动车违反规定停放且驾驶人不在现场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人行道不停车让行的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在高速公路或城市快速路以外的道路上行驶时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驾驶人未按规定使用安全带的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驾驶时拨打接听手持电话的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机动车不在机动车道内行驶的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机动车违反规定使用专用车道的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驾驶机动车在限速低于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公里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小时的公路上超过规定车速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以下的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上道路行驶的机动车未放置保险标志的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机动车未按规定在限制、禁止的区域通行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在同车道行驶中，不按规定与前车保持必要的安全距离的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机动车载物行驶时遗洒、飘散载运物的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机动车违反警告标志指示的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变更车道时影响正常行驶的机动车的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未按规定借道通行的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机动车号牌不清晰、不完整的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机动车违反警告标线指示的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未依次交替驶入车道减少后的路口、路段的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驾驶中型以上载客载货汽车、危险物品运输车辆以外的机动车超过规定时速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以下的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不按规定会车的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未将故障车辆移到不妨碍交通的地方停放的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在禁止掉头或者禁止左转弯标志地点掉头的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未按规定变更车道的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在禁止鸣喇叭的区域或者路段鸣喇叭的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掉头时妨碍正常行驶的车辆和行人通行的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机动车未按规定鸣喇叭示意的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无信号道路不避让行人的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机动车驾驶人不服从交警指挥的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驾驶证丢失期间仍驾驶机动车的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未按规定让行人和右方道路来车先行的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左转弯车辆未让相对方向直行车辆先行的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右转弯的机动车未按规定让行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机动车喷涂、粘贴标识影响安全驾驶的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遇前方机动车停车排队等候或者缓慢行驶时，在人行横道、网状线区域内停车等候的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在容易发生危险的路段掉头的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转弯车辆未提前进入规定车道的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不避让正在作业的道路养护车、工程作业车的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机动车未依次交替通行的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未按规定分道行驶的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驾驶机动车行驶时以手持方式使用电话的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驾车时有其他妨碍安全行车的行为的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人行道不减速的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行经无灯控、交警指挥或标志标线控制的路口，无交通标志标线，不让右方道路的来车先行的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右转弯机动车不让左转弯车辆先行的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穿拖鞋驾驶机动车的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一般交通违法不良信息</w:t>
            </w: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机动车违反禁止标线指示的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机动车违反禁令标志指示的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驾驶中型以上载客载货汽车、危险物品运输车辆以外的其他机动车行驶超过规定时速未达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bidi="ar"/>
              </w:rPr>
              <w:t>20%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遇停止信号时，停在停止线以内或路口内的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不按规定使用灯光的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转弯的机动车未让直行的车辆、行人先行的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驾驶人在驾驶证超过有效期仍驾驶机动车的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从前车右侧超车的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驾驶中型以上载货汽车在高速公路、城市快速路以外的道路上行驶超过规定时速未达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bidi="ar"/>
              </w:rPr>
              <w:t>20%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驾驶机动车在城市快速路上不按规定车道行驶的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不按标线指示让优先通行的一方先行的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驾驶中型以上载客汽车在高速公路、城市快速路以外的道路上行驶超过规定时速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bidi="ar"/>
              </w:rPr>
              <w:t>10%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未达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bidi="ar"/>
              </w:rPr>
              <w:t>20%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在城市快速路上行驶时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bidi="ar"/>
              </w:rPr>
              <w:t>,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驾驶人未按规定使用安全带的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与对面来车有会车可能时超车的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等候放行信号时，不依次停车等候的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通过路口遇放行信号不依次通过的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左转弯时，未靠路口中心点左侧转弯的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驾驶证公告停止使用期间仍驾驶机动车的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前车左转弯时超车的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路口遇有交通阻塞时未依次等候的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不避让执行任务的特种车辆的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较重交通违法不良信息</w:t>
            </w: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驾驶机动车违反道路交通信号灯通行的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驾驶中型以上载客载货汽车、校车、危险物品运输车辆以外的其他机动车行驶超过规定时速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bidi="ar"/>
              </w:rPr>
              <w:t>20%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以上未达到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bidi="ar"/>
              </w:rPr>
              <w:t>50%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机动车逆向行驶的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遇前方机动车停车排队或者缓慢行驶时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bidi="ar"/>
              </w:rPr>
              <w:t>,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借道超车或者占用对面车道、穿插等候车辆的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驾驶货车载物超过核定载质量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驾驶中型以上载货汽车在高速公路、城市快速路以外的道路上行驶超过规定时速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以上未达到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在驾驶证暂扣期间仍驾驶机动车的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驾驶中型以上载客汽车在高速公路、城市快速路以外的道路上行驶超过规定时速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以上未达到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驾驶危险物品运输车辆在高速公路、城市快速路以外的道路上行驶超过规定时速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以上未达到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驾驶中型以上载货汽车在城市快速路上行驶超过规定时速未达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％的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驾驶中型以上载客汽车在城市快速路上行驶超过规定时速未达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％的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严重交通违法不良信息</w:t>
            </w: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驾驶中型以上载客载货汽车、校车、危险物品运输车辆以外的机动车行驶超过规定时速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以上的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饮酒后驾驶机动车的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未取得驾驶证驾驶机动车的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上道路行驶的机动车未悬挂机动车号牌的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醉酒驾车的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再次酒后驾车的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造成交通事故后逃逸，尚不构成犯罪的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驾驶与准驾车型不相符合的车辆的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驾驶已达报废标准的车辆上道路行驶的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驾驶证被吊销期间驾驶机动车的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违法记分达到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分仍驾驶机动车的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发生重大事故，构成犯罪的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驾驶证被依法扣留期间仍驾驶机动车的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违法记分达到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分仍驾驶机动车的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驾驶证被依法扣留期间仍驾驶机动车的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故意遮挡机动车号牌的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饮酒后驾驶营运机动车的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造成交通事故后逃逸的，构成犯罪的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不按规定安装机动车号牌的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故意污损机动车号牌的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饮酒后或者醉酒驾驶机动车发生重大交通事故，构成犯罪的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驾驶中型以上载货汽车在高速公路以外的道路上行驶超过规定时速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50%</w:t>
            </w: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Arial" w:cs="Times New Roman"/>
                <w:color w:val="000000"/>
                <w:kern w:val="0"/>
                <w:sz w:val="24"/>
                <w:szCs w:val="24"/>
                <w:lang w:bidi="ar"/>
              </w:rPr>
              <w:t>醉酒驾营运车的</w:t>
            </w: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eastAsia="黑体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eastAsia="黑体"/>
        </w:rPr>
      </w:pPr>
      <w:r>
        <w:rPr>
          <w:rFonts w:hint="default" w:ascii="Times New Roman" w:eastAsia="黑体"/>
        </w:rPr>
        <w:t>二、文明交通分级评价计分标准和分级标准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</w:rPr>
      </w:pPr>
      <w:r>
        <w:rPr>
          <w:rFonts w:hint="default" w:ascii="Times New Roman" w:hAnsi="楷体_GB2312" w:eastAsia="楷体_GB2312" w:cs="Times New Roman"/>
          <w:b/>
        </w:rPr>
        <w:t>（一）计分标准</w:t>
      </w:r>
    </w:p>
    <w:p>
      <w:pPr>
        <w:adjustRightInd w:val="0"/>
        <w:snapToGrid w:val="0"/>
        <w:spacing w:line="580" w:lineRule="exact"/>
        <w:ind w:firstLine="640" w:firstLineChars="200"/>
      </w:pPr>
      <w:r>
        <w:rPr>
          <w:rFonts w:hint="default"/>
        </w:rPr>
        <w:t>机动车驾驶人文明交通分级评价采用百分制，分为基</w:t>
      </w:r>
      <w:r>
        <w:rPr>
          <w:rFonts w:hint="eastAsia"/>
        </w:rPr>
        <w:t>本</w:t>
      </w:r>
      <w:r>
        <w:rPr>
          <w:rFonts w:hint="default"/>
        </w:rPr>
        <w:t>分和优加分，其中基本分共</w:t>
      </w:r>
      <w:r>
        <w:t>90</w:t>
      </w:r>
      <w:r>
        <w:rPr>
          <w:rFonts w:hint="default"/>
        </w:rPr>
        <w:t>分，优加分共</w:t>
      </w:r>
      <w:r>
        <w:t>10</w:t>
      </w:r>
      <w:r>
        <w:rPr>
          <w:rFonts w:hint="default"/>
        </w:rPr>
        <w:t>分。</w:t>
      </w:r>
    </w:p>
    <w:p>
      <w:pPr>
        <w:adjustRightInd w:val="0"/>
        <w:snapToGrid w:val="0"/>
        <w:spacing w:line="580" w:lineRule="exact"/>
        <w:ind w:firstLine="640" w:firstLineChars="200"/>
      </w:pPr>
      <w:r>
        <w:rPr>
          <w:rFonts w:hint="default"/>
        </w:rPr>
        <w:t>机动车驾驶人道路交通违法行为信息按条扣减基本分，其中每有一条轻微交通违法不良信息扣减</w:t>
      </w:r>
      <w:r>
        <w:t>3</w:t>
      </w:r>
      <w:r>
        <w:rPr>
          <w:rFonts w:hint="default"/>
        </w:rPr>
        <w:t>分，每有一条一般交通违法不良信息扣减</w:t>
      </w:r>
      <w:r>
        <w:t>7</w:t>
      </w:r>
      <w:r>
        <w:rPr>
          <w:rFonts w:hint="default"/>
        </w:rPr>
        <w:t>分，每有一条较重交通违法不良信息扣减</w:t>
      </w:r>
      <w:r>
        <w:t>15</w:t>
      </w:r>
      <w:r>
        <w:rPr>
          <w:rFonts w:hint="default"/>
        </w:rPr>
        <w:t>分，每有一条严重交通违法不良信息扣减</w:t>
      </w:r>
      <w:r>
        <w:t>30</w:t>
      </w:r>
      <w:r>
        <w:rPr>
          <w:rFonts w:hint="default"/>
        </w:rPr>
        <w:t>分。</w:t>
      </w:r>
    </w:p>
    <w:p>
      <w:pPr>
        <w:adjustRightInd w:val="0"/>
        <w:snapToGrid w:val="0"/>
        <w:spacing w:line="580" w:lineRule="exact"/>
        <w:ind w:firstLine="640" w:firstLineChars="200"/>
      </w:pPr>
      <w:r>
        <w:rPr>
          <w:rFonts w:hint="default"/>
        </w:rPr>
        <w:t>其中，轻微交通违法不良信息统计时效为近一年内记录，一般交通违法不良信息统计时效为近三年内记录，较重、严重交通违法不良信息统计时效为近五年内记录。</w:t>
      </w:r>
    </w:p>
    <w:p>
      <w:pPr>
        <w:adjustRightInd w:val="0"/>
        <w:snapToGrid w:val="0"/>
        <w:spacing w:line="580" w:lineRule="exact"/>
        <w:ind w:firstLine="640" w:firstLineChars="200"/>
      </w:pPr>
      <w:r>
        <w:rPr>
          <w:rFonts w:hint="default"/>
        </w:rPr>
        <w:t>连续五年无交通违法记录的，优加分得</w:t>
      </w:r>
      <w:r>
        <w:t>5</w:t>
      </w:r>
      <w:r>
        <w:rPr>
          <w:rFonts w:hint="default"/>
        </w:rPr>
        <w:t>分；自觉按要求作出文明交通信用承诺且无违诺的，优加分得</w:t>
      </w:r>
      <w:r>
        <w:t>5</w:t>
      </w:r>
      <w:r>
        <w:rPr>
          <w:rFonts w:hint="default"/>
        </w:rPr>
        <w:t>分。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</w:rPr>
      </w:pPr>
      <w:r>
        <w:rPr>
          <w:rFonts w:hint="default" w:ascii="Times New Roman" w:hAnsi="楷体_GB2312" w:eastAsia="楷体_GB2312" w:cs="Times New Roman"/>
          <w:b/>
        </w:rPr>
        <w:t>（二）分级标准</w:t>
      </w:r>
    </w:p>
    <w:p>
      <w:pPr>
        <w:adjustRightInd w:val="0"/>
        <w:snapToGrid w:val="0"/>
        <w:spacing w:line="580" w:lineRule="exact"/>
        <w:ind w:firstLine="640" w:firstLineChars="200"/>
      </w:pPr>
      <w:r>
        <w:rPr>
          <w:rFonts w:hint="default"/>
        </w:rPr>
        <w:t>机动车驾驶人文明交通分级评价结果分为</w:t>
      </w:r>
      <w:r>
        <w:t>A</w:t>
      </w:r>
      <w:r>
        <w:rPr>
          <w:rFonts w:hint="default"/>
        </w:rPr>
        <w:t>、</w:t>
      </w:r>
      <w:r>
        <w:t>B</w:t>
      </w:r>
      <w:r>
        <w:rPr>
          <w:rFonts w:hint="default"/>
        </w:rPr>
        <w:t>、</w:t>
      </w:r>
      <w:r>
        <w:t>C</w:t>
      </w:r>
      <w:r>
        <w:rPr>
          <w:rFonts w:hint="default"/>
        </w:rPr>
        <w:t>、</w:t>
      </w:r>
      <w:r>
        <w:t>D</w:t>
      </w:r>
      <w:r>
        <w:rPr>
          <w:rFonts w:hint="default"/>
        </w:rPr>
        <w:t>、</w:t>
      </w:r>
      <w:r>
        <w:t>E</w:t>
      </w:r>
      <w:r>
        <w:rPr>
          <w:rFonts w:hint="default"/>
        </w:rPr>
        <w:t>五个等级。</w:t>
      </w:r>
      <w:r>
        <w:t>A</w:t>
      </w:r>
      <w:r>
        <w:rPr>
          <w:rFonts w:hint="default"/>
        </w:rPr>
        <w:t>表示文明交通综合信用评价为优秀；</w:t>
      </w:r>
      <w:r>
        <w:t>B</w:t>
      </w:r>
      <w:r>
        <w:rPr>
          <w:rFonts w:hint="default"/>
        </w:rPr>
        <w:t>表示文明交通综合信用评价为良好；</w:t>
      </w:r>
      <w:r>
        <w:t>C</w:t>
      </w:r>
      <w:r>
        <w:rPr>
          <w:rFonts w:hint="default"/>
        </w:rPr>
        <w:t>表示文明交通综合信用评价为一般；</w:t>
      </w:r>
      <w:r>
        <w:t>D</w:t>
      </w:r>
      <w:r>
        <w:rPr>
          <w:rFonts w:hint="default"/>
        </w:rPr>
        <w:t>表示文明交通综合信用评价为较差；</w:t>
      </w:r>
      <w:r>
        <w:t>E</w:t>
      </w:r>
      <w:r>
        <w:rPr>
          <w:rFonts w:hint="default"/>
        </w:rPr>
        <w:t>表示文明交通综合信用评价为差。</w:t>
      </w:r>
    </w:p>
    <w:p>
      <w:pPr>
        <w:adjustRightInd w:val="0"/>
        <w:snapToGrid w:val="0"/>
        <w:spacing w:line="580" w:lineRule="exact"/>
        <w:ind w:firstLine="640" w:firstLineChars="200"/>
      </w:pPr>
      <w:r>
        <w:t>A</w:t>
      </w:r>
      <w:r>
        <w:rPr>
          <w:rFonts w:hint="default"/>
        </w:rPr>
        <w:t>（优秀）：评价得分</w:t>
      </w:r>
      <w:r>
        <w:t>90</w:t>
      </w:r>
      <w:r>
        <w:rPr>
          <w:rFonts w:hint="default"/>
        </w:rPr>
        <w:t>分（不含）至</w:t>
      </w:r>
      <w:r>
        <w:t>100</w:t>
      </w:r>
      <w:r>
        <w:rPr>
          <w:rFonts w:hint="default"/>
        </w:rPr>
        <w:t>分（含）。</w:t>
      </w:r>
    </w:p>
    <w:p>
      <w:pPr>
        <w:adjustRightInd w:val="0"/>
        <w:snapToGrid w:val="0"/>
        <w:spacing w:line="580" w:lineRule="exact"/>
        <w:ind w:firstLine="640" w:firstLineChars="200"/>
      </w:pPr>
      <w:r>
        <w:t>B</w:t>
      </w:r>
      <w:r>
        <w:rPr>
          <w:rFonts w:hint="default"/>
        </w:rPr>
        <w:t>（良好）：评价得分</w:t>
      </w:r>
      <w:r>
        <w:t>75</w:t>
      </w:r>
      <w:r>
        <w:rPr>
          <w:rFonts w:hint="default"/>
        </w:rPr>
        <w:t>分（不含）至</w:t>
      </w:r>
      <w:r>
        <w:t>90</w:t>
      </w:r>
      <w:r>
        <w:rPr>
          <w:rFonts w:hint="default"/>
        </w:rPr>
        <w:t>分（含）。</w:t>
      </w:r>
    </w:p>
    <w:p>
      <w:pPr>
        <w:adjustRightInd w:val="0"/>
        <w:snapToGrid w:val="0"/>
        <w:spacing w:line="580" w:lineRule="exact"/>
        <w:ind w:firstLine="640" w:firstLineChars="200"/>
      </w:pPr>
      <w:r>
        <w:t>C</w:t>
      </w:r>
      <w:r>
        <w:rPr>
          <w:rFonts w:hint="default"/>
        </w:rPr>
        <w:t>（一般）：评价得分</w:t>
      </w:r>
      <w:r>
        <w:t>60</w:t>
      </w:r>
      <w:r>
        <w:rPr>
          <w:rFonts w:hint="default"/>
        </w:rPr>
        <w:t>分（不含）至</w:t>
      </w:r>
      <w:r>
        <w:t>75</w:t>
      </w:r>
      <w:r>
        <w:rPr>
          <w:rFonts w:hint="default"/>
        </w:rPr>
        <w:t>分（含）。</w:t>
      </w:r>
    </w:p>
    <w:p>
      <w:pPr>
        <w:adjustRightInd w:val="0"/>
        <w:snapToGrid w:val="0"/>
        <w:spacing w:line="580" w:lineRule="exact"/>
        <w:ind w:firstLine="640" w:firstLineChars="200"/>
      </w:pPr>
      <w:r>
        <w:t>D</w:t>
      </w:r>
      <w:r>
        <w:rPr>
          <w:rFonts w:hint="default"/>
        </w:rPr>
        <w:t>（较差）：评价得分</w:t>
      </w:r>
      <w:r>
        <w:t>45</w:t>
      </w:r>
      <w:r>
        <w:rPr>
          <w:rFonts w:hint="default"/>
        </w:rPr>
        <w:t>分（不含）至</w:t>
      </w:r>
      <w:r>
        <w:t>60</w:t>
      </w:r>
      <w:r>
        <w:rPr>
          <w:rFonts w:hint="default"/>
        </w:rPr>
        <w:t>分（含）。</w:t>
      </w:r>
    </w:p>
    <w:p>
      <w:pPr>
        <w:adjustRightInd w:val="0"/>
        <w:snapToGrid w:val="0"/>
        <w:spacing w:line="580" w:lineRule="exact"/>
        <w:ind w:firstLine="640" w:firstLineChars="200"/>
      </w:pPr>
      <w:r>
        <w:t>E</w:t>
      </w:r>
      <w:r>
        <w:rPr>
          <w:rFonts w:hint="default"/>
        </w:rPr>
        <w:t>（</w:t>
      </w:r>
      <w:r>
        <w:t xml:space="preserve"> </w:t>
      </w:r>
      <w:r>
        <w:rPr>
          <w:rFonts w:hint="default"/>
        </w:rPr>
        <w:t>差</w:t>
      </w:r>
      <w:r>
        <w:t xml:space="preserve"> </w:t>
      </w:r>
      <w:r>
        <w:rPr>
          <w:rFonts w:hint="default"/>
        </w:rPr>
        <w:t>）：评价得分</w:t>
      </w:r>
      <w:r>
        <w:t>45</w:t>
      </w:r>
      <w:r>
        <w:rPr>
          <w:rFonts w:hint="default"/>
        </w:rPr>
        <w:t>分（含）以下。</w:t>
      </w:r>
    </w:p>
    <w:p/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217A"/>
    <w:rsid w:val="2A0C3B1D"/>
    <w:rsid w:val="7BB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uiPriority w:val="0"/>
    <w:pPr>
      <w:spacing w:line="312" w:lineRule="auto"/>
      <w:jc w:val="center"/>
      <w:outlineLvl w:val="1"/>
    </w:pPr>
    <w:rPr>
      <w:rFonts w:ascii="等线 Light" w:hAnsi="等线 Light"/>
      <w:b/>
      <w:bCs/>
      <w:kern w:val="28"/>
    </w:rPr>
  </w:style>
  <w:style w:type="character" w:customStyle="1" w:styleId="5">
    <w:name w:val="font0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2021-01-04T02:29:00Z</dcterms:created>
  <dc:creator>-邵嘉达</dc:creator>
  <cp:lastModifiedBy>-邵嘉达</cp:lastModifiedBy>
  <dcterms:modified xsi:type="dcterms:W3CDTF">2021-01-04T02:32:17Z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