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</w:rPr>
        <w:t>信息公开有关规定</w:t>
      </w:r>
      <w:bookmarkEnd w:id="0"/>
    </w:p>
    <w:p>
      <w:pPr>
        <w:spacing w:line="460" w:lineRule="exact"/>
        <w:jc w:val="center"/>
        <w:rPr>
          <w:rFonts w:hint="default" w:ascii="Times New Roman" w:hAnsi="Times New Roman" w:eastAsia="仿宋_GB2312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——摘《绍兴市政府信息依申请公开办法》（绍政办发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</w:rPr>
        <w:t>24号）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对依申请公开的政府信息，行政机关应当按照下列规定分别作出书面答复处理：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（一）属于公开范围的，应当告知申请人获取该政府信息的方式和途径；能够在答复时提供具体内容的，应当同时提供。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（二）属于不予公开范围的，应当告知申请人并说明理由。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属于行政机关之间和行政机关内部行文的请示、报告、批复、会议纪要等文件和资料，不作为行政管理依据的，可以不予公开，但应当告知申请人并说明理由；作为行政管理依据的，应当予以公开，并按照本条第（一）项规定答复处理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（四）属于正在调查、讨论、处理过程中的政府信息，可以不予公开，但应当告知申请人并说明理由。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（五）不属于主动公开的范围，且与申请人生产、生活、科研等特殊需要无关的，可以不予公开，但应当告知申请人并说明理由。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（六）不属于本机关负责公开或者该政府信息不存在的，应当告知申请人；对能够确定负责公开该政府信息的行政机关的，应当告知申请人该行政机关的名称、联系方式。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（七）含有不应当公开的内容，但能够作区分处理的，应当告知申请人可以部分公开及公开部分的获取方式和途径；对不予公开的部分，应当说明理由。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（八）申请内容不明确或者申请不符合规定要求的，应当一次性告知申请人需要补正的内容。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（九）同一申请人向同一行政机关就同一内容反复提出政府信息公开申请，行政机关已经答复的，可以告知申请人不再重复处理。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20B992-E106-4982-B0A0-129D8403FF7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E904687-6124-4800-99B8-FA78D704E85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E7715"/>
    <w:rsid w:val="143D5850"/>
    <w:rsid w:val="387C235B"/>
    <w:rsid w:val="450465D1"/>
    <w:rsid w:val="5CBF0FDD"/>
    <w:rsid w:val="5E8E7715"/>
    <w:rsid w:val="7FB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2019-03-04T08:36:00Z</dcterms:created>
  <dc:creator>-邵嘉达</dc:creator>
  <cp:lastModifiedBy>-邵嘉达</cp:lastModifiedBy>
  <dcterms:modified xsi:type="dcterms:W3CDTF">2019-03-04T08:40:07Z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