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80" w:lineRule="exact"/>
        <w:jc w:val="center"/>
        <w:rPr>
          <w:rFonts w:eastAsia="方正小标宋简体"/>
          <w:bCs/>
          <w:color w:val="000000"/>
          <w:sz w:val="44"/>
          <w:szCs w:val="44"/>
        </w:rPr>
      </w:pPr>
      <w:bookmarkStart w:id="2" w:name="_GoBack"/>
      <w:r>
        <w:rPr>
          <w:rFonts w:eastAsia="方正小标宋简体"/>
          <w:bCs/>
          <w:color w:val="000000"/>
          <w:sz w:val="44"/>
          <w:szCs w:val="44"/>
        </w:rPr>
        <w:t>关于进一步降低物流成本的实施方案</w:t>
      </w:r>
    </w:p>
    <w:bookmarkEnd w:id="2"/>
    <w:p>
      <w:pPr>
        <w:adjustRightInd w:val="0"/>
        <w:snapToGrid w:val="0"/>
        <w:spacing w:line="580" w:lineRule="exact"/>
        <w:rPr>
          <w:color w:val="000000"/>
          <w:szCs w:val="32"/>
        </w:rPr>
      </w:pPr>
    </w:p>
    <w:p>
      <w:pPr>
        <w:adjustRightInd w:val="0"/>
        <w:snapToGrid w:val="0"/>
        <w:spacing w:line="580" w:lineRule="exact"/>
        <w:ind w:firstLine="640" w:firstLineChars="200"/>
        <w:rPr>
          <w:color w:val="000000"/>
          <w:szCs w:val="32"/>
        </w:rPr>
      </w:pPr>
      <w:r>
        <w:rPr>
          <w:color w:val="000000"/>
          <w:szCs w:val="32"/>
        </w:rPr>
        <w:t>为进一步降低物流成本，提升物流效率，促进我市现代物流业高质量发展，根据《国务院办公厅关于进一步降低物流成本的实施意见》（国办发〔2020〕10号）和《浙江省物流降本增效综合改革试点实施方案》（浙发改服务〔2019〕529号）文件精神，提出以下实施方案：</w:t>
      </w:r>
    </w:p>
    <w:p>
      <w:pPr>
        <w:numPr>
          <w:ilvl w:val="0"/>
          <w:numId w:val="1"/>
        </w:numPr>
        <w:adjustRightInd w:val="0"/>
        <w:snapToGrid w:val="0"/>
        <w:spacing w:line="580" w:lineRule="exact"/>
        <w:ind w:firstLine="640" w:firstLineChars="200"/>
        <w:rPr>
          <w:rFonts w:eastAsia="黑体"/>
          <w:color w:val="000000"/>
          <w:szCs w:val="32"/>
        </w:rPr>
      </w:pPr>
      <w:r>
        <w:rPr>
          <w:rFonts w:eastAsia="黑体"/>
          <w:color w:val="000000"/>
          <w:szCs w:val="32"/>
        </w:rPr>
        <w:t>总体要求和目标</w:t>
      </w:r>
    </w:p>
    <w:p>
      <w:pPr>
        <w:adjustRightInd w:val="0"/>
        <w:snapToGrid w:val="0"/>
        <w:spacing w:line="580" w:lineRule="exact"/>
        <w:ind w:firstLine="640"/>
        <w:rPr>
          <w:color w:val="000000"/>
          <w:szCs w:val="32"/>
        </w:rPr>
      </w:pPr>
      <w:r>
        <w:rPr>
          <w:rFonts w:eastAsia="楷体_GB2312"/>
          <w:b/>
          <w:bCs/>
          <w:color w:val="000000"/>
          <w:szCs w:val="32"/>
        </w:rPr>
        <w:t>1、总体要求。</w:t>
      </w:r>
      <w:r>
        <w:rPr>
          <w:color w:val="000000"/>
          <w:szCs w:val="32"/>
        </w:rPr>
        <w:t>以习近平新时代中国特色社会主义思想为指导，积极贯彻落实国家、省对进一步降低物流成本的决策部署，以优化营商环境、优化运输结构等为突破口，深化关键环节改革，落实减税降费措施，加强资源要素保障，加强信息开放共享，推动物流设施高效衔接，促进物流业提质增效，将绍兴打造成为全省物</w:t>
      </w:r>
      <w:bookmarkStart w:id="0" w:name="_Hlk46439874"/>
      <w:r>
        <w:rPr>
          <w:color w:val="000000"/>
          <w:szCs w:val="32"/>
        </w:rPr>
        <w:t>流降本增效</w:t>
      </w:r>
      <w:bookmarkEnd w:id="0"/>
      <w:r>
        <w:rPr>
          <w:color w:val="000000"/>
          <w:szCs w:val="32"/>
        </w:rPr>
        <w:t>先行区、全国物流降本增效示范区。</w:t>
      </w:r>
    </w:p>
    <w:p>
      <w:pPr>
        <w:adjustRightInd w:val="0"/>
        <w:snapToGrid w:val="0"/>
        <w:spacing w:line="580" w:lineRule="exact"/>
        <w:ind w:firstLine="643" w:firstLineChars="200"/>
        <w:rPr>
          <w:color w:val="000000"/>
          <w:szCs w:val="32"/>
        </w:rPr>
      </w:pPr>
      <w:r>
        <w:rPr>
          <w:rFonts w:eastAsia="楷体_GB2312"/>
          <w:b/>
          <w:bCs/>
          <w:color w:val="000000"/>
          <w:szCs w:val="32"/>
        </w:rPr>
        <w:t>2、主要目标。</w:t>
      </w:r>
      <w:r>
        <w:rPr>
          <w:color w:val="000000"/>
          <w:szCs w:val="32"/>
        </w:rPr>
        <w:t>到2020年底，实现物流行业群众事项办理“掌上办”“全市通办”；减免公路收费1.1亿元以上；推进物流园区智慧化改造，启动建设7个物流项目，完成18.2亿元投资额；新增100组以上城市智能快递柜，行政村快递服务全覆盖。</w:t>
      </w:r>
    </w:p>
    <w:p>
      <w:pPr>
        <w:numPr>
          <w:ilvl w:val="0"/>
          <w:numId w:val="1"/>
        </w:numPr>
        <w:adjustRightInd w:val="0"/>
        <w:snapToGrid w:val="0"/>
        <w:spacing w:line="580" w:lineRule="exact"/>
        <w:ind w:firstLine="640" w:firstLineChars="200"/>
        <w:rPr>
          <w:rFonts w:eastAsia="黑体"/>
          <w:bCs/>
          <w:color w:val="000000"/>
          <w:szCs w:val="32"/>
          <w:shd w:val="clear" w:color="auto" w:fill="FFFFFF"/>
        </w:rPr>
      </w:pPr>
      <w:r>
        <w:rPr>
          <w:rFonts w:eastAsia="黑体"/>
          <w:bCs/>
          <w:color w:val="000000"/>
          <w:szCs w:val="32"/>
          <w:shd w:val="clear" w:color="auto" w:fill="FFFFFF"/>
        </w:rPr>
        <w:t>着力优化物流营商环境</w:t>
      </w:r>
    </w:p>
    <w:p>
      <w:pPr>
        <w:adjustRightInd w:val="0"/>
        <w:snapToGrid w:val="0"/>
        <w:spacing w:line="580" w:lineRule="exact"/>
        <w:ind w:firstLine="643" w:firstLineChars="200"/>
        <w:rPr>
          <w:rFonts w:eastAsia="楷体_GB2312"/>
          <w:b/>
          <w:bCs/>
          <w:color w:val="000000"/>
          <w:szCs w:val="32"/>
        </w:rPr>
      </w:pPr>
      <w:r>
        <w:rPr>
          <w:rFonts w:eastAsia="楷体_GB2312"/>
          <w:b/>
          <w:bCs/>
          <w:color w:val="000000"/>
          <w:szCs w:val="32"/>
        </w:rPr>
        <w:t>（一）完善证照电子化和车辆管理制度。</w:t>
      </w:r>
      <w:r>
        <w:rPr>
          <w:color w:val="000000"/>
          <w:szCs w:val="32"/>
        </w:rPr>
        <w:t>加快推进运输领域全面电子化，推动资质证照线上申请、审批、签发等流程。优化标准化轻微型配送车辆通行证管理模式，加大对经批准的专业化配送公司及提供配送合同或送货证明的车辆的支持。对新能源城市配送车辆，在普通货车申办10条通行线路基础上，给予放宽至15条，对其他确有所需的配送车辆，视情况办理全区域通行证。（责任单位：市交通运输局、市公安局）</w:t>
      </w:r>
    </w:p>
    <w:p>
      <w:pPr>
        <w:adjustRightInd w:val="0"/>
        <w:snapToGrid w:val="0"/>
        <w:spacing w:line="580" w:lineRule="exact"/>
        <w:ind w:firstLine="643" w:firstLineChars="200"/>
        <w:rPr>
          <w:color w:val="000000"/>
          <w:szCs w:val="32"/>
        </w:rPr>
      </w:pPr>
      <w:r>
        <w:rPr>
          <w:rFonts w:eastAsia="楷体_GB2312"/>
          <w:b/>
          <w:bCs/>
          <w:color w:val="000000"/>
          <w:szCs w:val="32"/>
        </w:rPr>
        <w:t>（二）科学治理车辆超限超载。</w:t>
      </w:r>
      <w:r>
        <w:rPr>
          <w:color w:val="000000"/>
          <w:szCs w:val="32"/>
        </w:rPr>
        <w:t>加大路面执法整治和非现场执法力度，</w:t>
      </w:r>
      <w:r>
        <w:rPr>
          <w:color w:val="000000"/>
          <w:kern w:val="44"/>
          <w:szCs w:val="32"/>
        </w:rPr>
        <w:t>高速公路违法超限超载运输车辆比例降至</w:t>
      </w:r>
      <w:r>
        <w:rPr>
          <w:color w:val="000000"/>
          <w:szCs w:val="32"/>
        </w:rPr>
        <w:t>0.5%以下，普通公路违法超限超载运输车辆明显下降</w:t>
      </w:r>
      <w:r>
        <w:rPr>
          <w:bCs/>
          <w:color w:val="000000"/>
          <w:szCs w:val="32"/>
        </w:rPr>
        <w:t>；</w:t>
      </w:r>
      <w:r>
        <w:rPr>
          <w:color w:val="000000"/>
          <w:szCs w:val="32"/>
        </w:rPr>
        <w:t>新增治超非现场执法车道18条，非现场执法处罚率达70%以上。明确定点联合执法模式，严格落实“一超四罚”处置机制，加强对非法改装企业的源头监管，加强日常执法检查。依法组织货车市场专项执法检查，对未获强制性产品认证出厂、销售、货证不符的货车生产销售企业予以处罚。开展老旧营运车辆淘汰工作，到2020年底，共淘汰2700辆老旧营运货车。（责任单位：市交通运输局、市公安局、市市场监管局）</w:t>
      </w:r>
    </w:p>
    <w:p>
      <w:pPr>
        <w:adjustRightInd w:val="0"/>
        <w:snapToGrid w:val="0"/>
        <w:spacing w:line="580" w:lineRule="exact"/>
        <w:ind w:firstLine="643" w:firstLineChars="200"/>
        <w:rPr>
          <w:color w:val="000000"/>
          <w:szCs w:val="32"/>
        </w:rPr>
      </w:pPr>
      <w:r>
        <w:rPr>
          <w:rFonts w:eastAsia="楷体_GB2312"/>
          <w:b/>
          <w:bCs/>
          <w:color w:val="000000"/>
          <w:szCs w:val="32"/>
        </w:rPr>
        <w:t>（三）优化城市配送车辆管控。</w:t>
      </w:r>
      <w:r>
        <w:rPr>
          <w:color w:val="000000"/>
          <w:szCs w:val="32"/>
        </w:rPr>
        <w:t>完善以综合物流中心、公共配送中心、末端配送网点为支撑的三级配送网络，合理设置城市配送车辆停靠装卸相关设施。出台大件货物配送车辆的标准，统一发放通行证，允许临时停靠，破解城市配送“最后100米”问题。鼓励发展共同配送、统一配送、集中配送、分时配送等集约化配送。（责任单位：市发改委、市公安局、市邮政管理局、市交通运输局、市商务局）</w:t>
      </w:r>
    </w:p>
    <w:p>
      <w:pPr>
        <w:adjustRightInd w:val="0"/>
        <w:snapToGrid w:val="0"/>
        <w:spacing w:line="580" w:lineRule="exact"/>
        <w:ind w:firstLine="643" w:firstLineChars="200"/>
        <w:rPr>
          <w:color w:val="000000"/>
          <w:szCs w:val="32"/>
        </w:rPr>
      </w:pPr>
      <w:r>
        <w:rPr>
          <w:rFonts w:eastAsia="楷体_GB2312"/>
          <w:b/>
          <w:bCs/>
          <w:color w:val="000000"/>
          <w:szCs w:val="32"/>
        </w:rPr>
        <w:t>（四）维护货运市场通行秩序。</w:t>
      </w:r>
      <w:r>
        <w:rPr>
          <w:color w:val="000000"/>
          <w:szCs w:val="32"/>
        </w:rPr>
        <w:t>严厉打击高速逃费、超载车辆，维护高速公路通行秩序，畅通投诉举报渠道，及时处理、回应社会关切。对运输配送生活必需品、药品、鲜活农产品、冷藏保鲜产品车辆的轻微交通违法行为，未影响道路通行的，给予适当的通行便利。（责任单位：市公安局、市交通运输局）</w:t>
      </w:r>
    </w:p>
    <w:p>
      <w:pPr>
        <w:adjustRightInd w:val="0"/>
        <w:snapToGrid w:val="0"/>
        <w:spacing w:line="580" w:lineRule="exact"/>
        <w:ind w:firstLine="643" w:firstLineChars="200"/>
        <w:rPr>
          <w:color w:val="000000"/>
          <w:szCs w:val="32"/>
        </w:rPr>
      </w:pPr>
      <w:r>
        <w:rPr>
          <w:rFonts w:eastAsia="楷体_GB2312"/>
          <w:b/>
          <w:bCs/>
          <w:color w:val="000000"/>
          <w:szCs w:val="32"/>
        </w:rPr>
        <w:t>（五）加强物流领域收费监管。</w:t>
      </w:r>
      <w:r>
        <w:rPr>
          <w:color w:val="000000"/>
          <w:szCs w:val="32"/>
        </w:rPr>
        <w:t>开展物流领域收费专项检查,着力解决“乱收费”“乱罚款”等问题，重点查处货运收费不执行政府定价、指导价，对明令取消的收费项目继续收费，未执行鲜活农产品“绿色通道”政策，以及高速公路救援等单位超过政府规定标准收费等行为。全面推广货车使用电子收费系统（ETC）非现金支付方式，至2020年12月31日止，对使用我市 ETC 卡的合法装载货运车辆试行通行费 8.5 折优惠。加强港口、检验检疫等进出口环节收费监管，查处检验检疫环节强制服务收费，各类中介明码标价不规范等行为。落实好大宗商品仓储用地减税降费政策，自2020年1月1日起至2022年12月31日止，对物流企业自有（包括自用和出租）或承租的大宗商品仓储设施用地，减按所属地登记使用税额标准的50%计征城镇土地使用税。（责任单位：市市场监管局、市交通运输局、绍兴海关、市税务局）</w:t>
      </w:r>
    </w:p>
    <w:p>
      <w:pPr>
        <w:adjustRightInd w:val="0"/>
        <w:snapToGrid w:val="0"/>
        <w:spacing w:line="580" w:lineRule="exact"/>
        <w:ind w:firstLine="643" w:firstLineChars="200"/>
        <w:rPr>
          <w:color w:val="000000"/>
          <w:szCs w:val="32"/>
        </w:rPr>
      </w:pPr>
      <w:r>
        <w:rPr>
          <w:rFonts w:eastAsia="楷体_GB2312"/>
          <w:b/>
          <w:bCs/>
          <w:color w:val="000000"/>
          <w:szCs w:val="32"/>
        </w:rPr>
        <w:t>（六）推动货物通关便利化。</w:t>
      </w:r>
      <w:r>
        <w:rPr>
          <w:color w:val="000000"/>
          <w:szCs w:val="32"/>
        </w:rPr>
        <w:t>深化“放管服”改革，全面推行项目备案和减免税审批无纸化，基本实现办理征免税证明货物当日申报、当日审批、次日提货。进一步巩固通关时间压缩成果基础上，持续推进进口概要申报、完整申报的“两步申报”通关模式。继续深化国际贸易“单一窗口”建设，加快推进口岸各环节无纸化作业。推广“自报自缴”、“电子支付”等便利措施，提升货物进出港效率。（责任单位：绍兴海关、市商务局）</w:t>
      </w:r>
    </w:p>
    <w:p>
      <w:pPr>
        <w:adjustRightInd w:val="0"/>
        <w:snapToGrid w:val="0"/>
        <w:spacing w:line="580" w:lineRule="exact"/>
        <w:ind w:firstLine="640" w:firstLineChars="200"/>
        <w:rPr>
          <w:rFonts w:eastAsia="黑体"/>
          <w:color w:val="000000"/>
          <w:szCs w:val="32"/>
        </w:rPr>
      </w:pPr>
      <w:r>
        <w:rPr>
          <w:rFonts w:eastAsia="黑体"/>
          <w:color w:val="000000"/>
          <w:szCs w:val="32"/>
        </w:rPr>
        <w:t>三、创新提升物流组织方式</w:t>
      </w:r>
    </w:p>
    <w:p>
      <w:pPr>
        <w:adjustRightInd w:val="0"/>
        <w:snapToGrid w:val="0"/>
        <w:spacing w:line="580" w:lineRule="exact"/>
        <w:ind w:firstLine="643" w:firstLineChars="200"/>
        <w:rPr>
          <w:color w:val="000000"/>
          <w:szCs w:val="32"/>
        </w:rPr>
      </w:pPr>
      <w:r>
        <w:rPr>
          <w:rFonts w:eastAsia="楷体_GB2312"/>
          <w:b/>
          <w:bCs/>
          <w:color w:val="000000"/>
          <w:szCs w:val="32"/>
        </w:rPr>
        <w:t>（七）推动运输结构优化调整。</w:t>
      </w:r>
      <w:r>
        <w:rPr>
          <w:color w:val="000000"/>
          <w:szCs w:val="32"/>
        </w:rPr>
        <w:t>以多式联运示范工程为重点，推广应用多式联运运单，加快发展“一单制”联运服务。鼓励开展集装箱运输业务，探索一批公路集装箱运输和水路集装箱运输企业的合作试点，完善水运集装箱运输的集疏散体系，到2020年底完成水运货运量1715万吨，内河集装箱吞吐量8万标箱，全市实现大宗货物“公转水”比2019年增加150万吨。（责任单位：市交通运输局、市发改委）</w:t>
      </w:r>
    </w:p>
    <w:p>
      <w:pPr>
        <w:adjustRightInd w:val="0"/>
        <w:snapToGrid w:val="0"/>
        <w:spacing w:line="580" w:lineRule="exact"/>
        <w:ind w:firstLine="643" w:firstLineChars="200"/>
        <w:rPr>
          <w:color w:val="000000"/>
          <w:szCs w:val="32"/>
        </w:rPr>
      </w:pPr>
      <w:r>
        <w:rPr>
          <w:rFonts w:eastAsia="楷体_GB2312"/>
          <w:b/>
          <w:bCs/>
          <w:color w:val="000000"/>
          <w:szCs w:val="32"/>
        </w:rPr>
        <w:t>（八）打通物流信息共享渠道。</w:t>
      </w:r>
      <w:r>
        <w:rPr>
          <w:color w:val="000000"/>
          <w:szCs w:val="32"/>
        </w:rPr>
        <w:t>在确保信息安全前提下，推进交通运输、公安交管、铁路、港口、航空等单位相关物流数据开放共享，实现物流信息跨部门、跨行业、跨领域、跨主体的顺创流动。按照安全共享和对等互利的原则，推动铁路企业与港口、物流等企业信息系统对接，完善信息接口等标准，加强列车到发时刻等信息开放。（责任单位：市发改委、市交通运输局、市公安局、市大数据局）</w:t>
      </w:r>
    </w:p>
    <w:p>
      <w:pPr>
        <w:adjustRightInd w:val="0"/>
        <w:snapToGrid w:val="0"/>
        <w:spacing w:line="580" w:lineRule="exact"/>
        <w:ind w:firstLine="643" w:firstLineChars="200"/>
        <w:rPr>
          <w:color w:val="000000"/>
          <w:szCs w:val="32"/>
        </w:rPr>
      </w:pPr>
      <w:r>
        <w:rPr>
          <w:rFonts w:eastAsia="楷体_GB2312"/>
          <w:b/>
          <w:bCs/>
          <w:color w:val="000000"/>
          <w:szCs w:val="32"/>
        </w:rPr>
        <w:t>（九）推进建设智慧物流供应链。</w:t>
      </w:r>
      <w:r>
        <w:rPr>
          <w:color w:val="000000"/>
          <w:szCs w:val="32"/>
        </w:rPr>
        <w:t>深入推进供应链创新与应用试点，推广“供应链协同推进”模式，鼓励生产企业、连锁商贸企业等供应链上下游企业“结对子”、“建联盟”，开展统一租赁、托盘互换，协同推进托盘标准化；拓展标准托盘、周转箱（筐）的信息承载功能，从集装单元提升为数据单元，探索托盘条码与商品条码、箱码、物流单元代码关联衔接，推动物流链上下游企业数据传输交换顺畅。利用大数据、云计算、物联网、区块链、人工智能等先进技术，加强数据分析应用，挖掘商业价值，优化生产、流通、销售及追溯管理，以智能物流载具为节点打造智慧供应链。（责任单位：市商务局、市发改委、市邮政管理局）</w:t>
      </w:r>
    </w:p>
    <w:p>
      <w:pPr>
        <w:adjustRightInd w:val="0"/>
        <w:snapToGrid w:val="0"/>
        <w:spacing w:line="580" w:lineRule="exact"/>
        <w:ind w:firstLine="643" w:firstLineChars="200"/>
        <w:rPr>
          <w:color w:val="000000"/>
          <w:szCs w:val="32"/>
        </w:rPr>
      </w:pPr>
      <w:r>
        <w:rPr>
          <w:rFonts w:eastAsia="楷体_GB2312"/>
          <w:b/>
          <w:bCs/>
          <w:color w:val="000000"/>
          <w:szCs w:val="32"/>
        </w:rPr>
        <w:t>（十）加快发展智慧物流。</w:t>
      </w:r>
      <w:r>
        <w:rPr>
          <w:color w:val="000000"/>
          <w:szCs w:val="32"/>
        </w:rPr>
        <w:t>推动物流园区仓储设施从传统结构向网格结构升级，建立深度感知智能仓储系统，实现存、取、管全程智能化。推动仓储配送装备智能化。支持交通物流企业应用智能化物流装备，提升仓储、运输、分拣、包装等作业效率和仓储管理水平；鼓励有条件的物流枢纽建设全自动化码头、智能化仓储等现代物流设施；鼓励搬运、装卸、终端配送等环节的无人车、无人机等设施设备在快递行业的应用。引导物流企业数字化，加快企业物流信息系统建设，发挥核心物流企业整合能力，打通物流信息链，实现物流信息全程可追踪。（责任单位：市发改委、市交通运输局、市邮政管理局、市经信局、市商务局）</w:t>
      </w:r>
    </w:p>
    <w:p>
      <w:pPr>
        <w:adjustRightInd w:val="0"/>
        <w:snapToGrid w:val="0"/>
        <w:spacing w:line="580" w:lineRule="exact"/>
        <w:ind w:firstLine="643" w:firstLineChars="200"/>
        <w:rPr>
          <w:color w:val="000000"/>
          <w:szCs w:val="32"/>
        </w:rPr>
      </w:pPr>
      <w:r>
        <w:rPr>
          <w:rFonts w:eastAsia="楷体_GB2312"/>
          <w:b/>
          <w:bCs/>
          <w:color w:val="000000"/>
          <w:szCs w:val="32"/>
        </w:rPr>
        <w:t>（十一）积极发展绿色物流。</w:t>
      </w:r>
      <w:r>
        <w:rPr>
          <w:color w:val="000000"/>
          <w:szCs w:val="32"/>
        </w:rPr>
        <w:t>推广快递环保袋、环保芯片编织袋、电子面单、信息标准等试点。鼓励企业提高“瘦身胶带”、循环中转袋使用比率，减少电商件二次包装比率，推动包装绿色化、减量化。推广网点绿色包装回收箱设置，促进快递包装回收循环使用。推进物流单元化、一体化运作。以托盘、包装箱、周转箱（筐）、集装箱为单元，推动包装、储存、装卸、搬运、分拣、配送、运输等物流各环节一体化运作，鼓励生产制造企业使用标准托盘、包装箱（600mm×400mm模数系列）将产品整合为规格化、标准化的集装单元，从源头发展单元化物流。推广先进成熟模式。（责任单位：市邮政管理局、市商务局）</w:t>
      </w:r>
    </w:p>
    <w:p>
      <w:pPr>
        <w:adjustRightInd w:val="0"/>
        <w:snapToGrid w:val="0"/>
        <w:spacing w:line="580" w:lineRule="exact"/>
        <w:ind w:firstLine="640" w:firstLineChars="200"/>
        <w:rPr>
          <w:rFonts w:eastAsia="黑体"/>
          <w:bCs/>
          <w:color w:val="000000"/>
          <w:szCs w:val="32"/>
          <w:shd w:val="clear" w:color="auto" w:fill="FFFFFF"/>
        </w:rPr>
      </w:pPr>
      <w:r>
        <w:rPr>
          <w:rFonts w:eastAsia="黑体"/>
          <w:bCs/>
          <w:color w:val="000000"/>
          <w:szCs w:val="32"/>
          <w:shd w:val="clear" w:color="auto" w:fill="FFFFFF"/>
        </w:rPr>
        <w:t>四、统筹推进物流设施一体化建设</w:t>
      </w:r>
    </w:p>
    <w:p>
      <w:pPr>
        <w:adjustRightInd w:val="0"/>
        <w:snapToGrid w:val="0"/>
        <w:spacing w:line="580" w:lineRule="exact"/>
        <w:ind w:firstLine="643" w:firstLineChars="200"/>
        <w:rPr>
          <w:color w:val="000000"/>
          <w:szCs w:val="32"/>
        </w:rPr>
      </w:pPr>
      <w:r>
        <w:rPr>
          <w:rFonts w:eastAsia="楷体_GB2312"/>
          <w:b/>
          <w:bCs/>
          <w:color w:val="000000"/>
          <w:szCs w:val="32"/>
        </w:rPr>
        <w:t>（十二）建立全市物流设施一体化规划建设机制。</w:t>
      </w:r>
      <w:r>
        <w:rPr>
          <w:color w:val="000000"/>
          <w:szCs w:val="32"/>
        </w:rPr>
        <w:t>建立全市物流设施一体化规划建设机制。建立物流设施布局、规划、建设“一张蓝图”长效机制，将交通、商务部门组织编制的物流行业专项规划内容统筹纳入各级国土空间规划，在土地空间保障上予以支持。（责任单位：市自然资源和规划局、市交通运输局、市商务局）</w:t>
      </w:r>
    </w:p>
    <w:p>
      <w:pPr>
        <w:adjustRightInd w:val="0"/>
        <w:snapToGrid w:val="0"/>
        <w:spacing w:line="580" w:lineRule="exact"/>
        <w:ind w:firstLine="643" w:firstLineChars="200"/>
        <w:rPr>
          <w:color w:val="000000"/>
          <w:szCs w:val="32"/>
        </w:rPr>
      </w:pPr>
      <w:r>
        <w:rPr>
          <w:rFonts w:eastAsia="楷体_GB2312"/>
          <w:b/>
          <w:bCs/>
          <w:color w:val="000000"/>
          <w:szCs w:val="32"/>
        </w:rPr>
        <w:t>（十三）推动物流基础设施枢纽建设。</w:t>
      </w:r>
      <w:r>
        <w:rPr>
          <w:color w:val="000000"/>
          <w:szCs w:val="32"/>
        </w:rPr>
        <w:t>积极鼓励申报国家物流枢纽建设项目，培育形成一批资源整合能力强、运营模式先进的枢纽运营企业。推动物流枢纽建设，促进区域内和跨区域物流组织化、规模化、网络化运行。加快冷链物流基础设施建设</w:t>
      </w:r>
      <w:bookmarkStart w:id="1" w:name="_Hlk45736124"/>
      <w:r>
        <w:rPr>
          <w:color w:val="000000"/>
          <w:szCs w:val="32"/>
        </w:rPr>
        <w:t>，对企业建设城市共同配送、冷链配送、供应链综合服务平台等项目，按照实际投资额的20%予以补助，最高不超过50万元。</w:t>
      </w:r>
      <w:bookmarkEnd w:id="1"/>
      <w:r>
        <w:rPr>
          <w:color w:val="000000"/>
          <w:szCs w:val="32"/>
        </w:rPr>
        <w:t>（责任单位：市发改委、市商务局、市交通运输局）</w:t>
      </w:r>
    </w:p>
    <w:p>
      <w:pPr>
        <w:adjustRightInd w:val="0"/>
        <w:snapToGrid w:val="0"/>
        <w:spacing w:line="580" w:lineRule="exact"/>
        <w:ind w:firstLine="643" w:firstLineChars="200"/>
        <w:rPr>
          <w:color w:val="000000"/>
          <w:szCs w:val="32"/>
        </w:rPr>
      </w:pPr>
      <w:r>
        <w:rPr>
          <w:rFonts w:eastAsia="楷体_GB2312"/>
          <w:b/>
          <w:bCs/>
          <w:color w:val="000000"/>
          <w:szCs w:val="32"/>
        </w:rPr>
        <w:t>（十四）畅通城乡高效配送体系建设。</w:t>
      </w:r>
      <w:r>
        <w:rPr>
          <w:color w:val="000000"/>
          <w:szCs w:val="32"/>
        </w:rPr>
        <w:t>继续做好农村物流服务网点建设工作。鼓励城乡配送企业改造、整合农村客运站、邮政所、城乡连锁超市、粮食收购站、农资配送店等现有资源，构建起县、乡、村的三级城乡配送网络。继续做好农村物流服务网点建设工作，今年年底前完成建设任务235个。（责任单位：市邮政管理局、市交通运输局）</w:t>
      </w:r>
    </w:p>
    <w:p>
      <w:pPr>
        <w:adjustRightInd w:val="0"/>
        <w:snapToGrid w:val="0"/>
        <w:spacing w:line="580" w:lineRule="exact"/>
        <w:ind w:firstLine="640" w:firstLineChars="200"/>
        <w:rPr>
          <w:rFonts w:eastAsia="黑体"/>
          <w:bCs/>
          <w:color w:val="000000"/>
          <w:szCs w:val="32"/>
          <w:shd w:val="clear" w:color="auto" w:fill="FFFFFF"/>
        </w:rPr>
      </w:pPr>
      <w:r>
        <w:rPr>
          <w:rFonts w:eastAsia="黑体"/>
          <w:bCs/>
          <w:color w:val="000000"/>
          <w:szCs w:val="32"/>
          <w:shd w:val="clear" w:color="auto" w:fill="FFFFFF"/>
        </w:rPr>
        <w:t xml:space="preserve">五、加强重点领域和薄弱环节建设 </w:t>
      </w:r>
    </w:p>
    <w:p>
      <w:pPr>
        <w:adjustRightInd w:val="0"/>
        <w:snapToGrid w:val="0"/>
        <w:spacing w:line="580" w:lineRule="exact"/>
        <w:ind w:firstLine="643" w:firstLineChars="200"/>
        <w:rPr>
          <w:color w:val="000000"/>
          <w:szCs w:val="32"/>
        </w:rPr>
      </w:pPr>
      <w:r>
        <w:rPr>
          <w:rFonts w:eastAsia="楷体_GB2312"/>
          <w:b/>
          <w:bCs/>
          <w:color w:val="000000"/>
          <w:szCs w:val="32"/>
        </w:rPr>
        <w:t>（十五）保障物流用地需求</w:t>
      </w:r>
      <w:r>
        <w:rPr>
          <w:rFonts w:eastAsia="楷体_GB2312"/>
          <w:b/>
          <w:bCs/>
          <w:color w:val="000000"/>
          <w:szCs w:val="32"/>
        </w:rPr>
        <w:softHyphen/>
      </w:r>
      <w:r>
        <w:rPr>
          <w:rFonts w:eastAsia="楷体_GB2312"/>
          <w:b/>
          <w:bCs/>
          <w:color w:val="000000"/>
          <w:szCs w:val="32"/>
        </w:rPr>
        <w:t>。</w:t>
      </w:r>
      <w:r>
        <w:rPr>
          <w:color w:val="000000"/>
          <w:szCs w:val="32"/>
        </w:rPr>
        <w:t>统筹新增建设用地计划指标、城乡建设用地增减挂钩结余指标，积极保障重大物流基础设施项目用地。积极鼓励通过“先租后让”“租让结合”等多种方式向物流企业供地。积极支持利用工业企业旧厂房、仓库和存量土地资源建设物流设施或提供物流服务,涉及原划拨土地使用权转让或租赁的,经批准可采取协议方式办理土地有偿使用手续。在符合规划、不改变用途的前提下，对提高自有工业用地或仓储用地利用率、容积率并用于仓储、分拨转运等物流设施建设的，不再增收土地价款。（责任单位：市自然资源和规划局）</w:t>
      </w:r>
    </w:p>
    <w:p>
      <w:pPr>
        <w:adjustRightInd w:val="0"/>
        <w:snapToGrid w:val="0"/>
        <w:spacing w:line="580" w:lineRule="exact"/>
        <w:ind w:firstLine="643" w:firstLineChars="200"/>
        <w:rPr>
          <w:color w:val="000000"/>
          <w:szCs w:val="32"/>
        </w:rPr>
      </w:pPr>
      <w:r>
        <w:rPr>
          <w:rFonts w:eastAsia="楷体_GB2312"/>
          <w:b/>
          <w:bCs/>
          <w:color w:val="000000"/>
          <w:szCs w:val="32"/>
        </w:rPr>
        <w:t>（十六）畅通物流企业融资渠道。</w:t>
      </w:r>
      <w:r>
        <w:rPr>
          <w:color w:val="000000"/>
          <w:szCs w:val="32"/>
        </w:rPr>
        <w:t>引导全市金融机构利用浙江省金融综合服务平台、市金融信用信息服务平台，推动发放物流企业中长期贷款、无还本续贷和信用贷款，开拓物流企业首贷户；鼓励发展供应链金融，依托核心企业加强对上下游小微企业的金融服务。鼓励保险公司为物流企业信贷提供保证保险，加大政策性担保公司对物流企业的信贷支持。（责任单位：市金融办、绍兴银保监分局、人行绍兴市中心支行）</w:t>
      </w:r>
    </w:p>
    <w:p>
      <w:pPr>
        <w:adjustRightInd w:val="0"/>
        <w:snapToGrid w:val="0"/>
        <w:spacing w:line="580" w:lineRule="exact"/>
        <w:ind w:firstLine="643" w:firstLineChars="200"/>
        <w:rPr>
          <w:color w:val="000000"/>
          <w:szCs w:val="32"/>
        </w:rPr>
      </w:pPr>
      <w:r>
        <w:rPr>
          <w:rFonts w:eastAsia="楷体_GB2312"/>
          <w:b/>
          <w:bCs/>
          <w:color w:val="000000"/>
          <w:szCs w:val="32"/>
        </w:rPr>
        <w:t>（十七）发挥保险保障作用。</w:t>
      </w:r>
      <w:r>
        <w:rPr>
          <w:color w:val="000000"/>
          <w:szCs w:val="32"/>
        </w:rPr>
        <w:t>引导保险业加强与政府部门的协调配合，加快发展符合绍兴特点的政保合作项目，推动保险业在物流行业发展中发挥更大作用。发挥商业保险优势，提高物流企业综合保险产品和物流新兴业态从业人员的意外保险等产品覆盖面。（责任单位：绍兴银保监分局）</w:t>
      </w:r>
    </w:p>
    <w:p>
      <w:pPr>
        <w:adjustRightInd w:val="0"/>
        <w:snapToGrid w:val="0"/>
        <w:spacing w:line="580" w:lineRule="exact"/>
        <w:ind w:firstLine="643" w:firstLineChars="200"/>
        <w:rPr>
          <w:color w:val="000000"/>
          <w:szCs w:val="32"/>
        </w:rPr>
      </w:pPr>
      <w:r>
        <w:rPr>
          <w:rFonts w:eastAsia="楷体_GB2312"/>
          <w:b/>
          <w:bCs/>
          <w:color w:val="000000"/>
          <w:szCs w:val="32"/>
        </w:rPr>
        <w:t>（十八）培育骨干物流企业。</w:t>
      </w:r>
      <w:r>
        <w:rPr>
          <w:color w:val="000000"/>
          <w:szCs w:val="32"/>
        </w:rPr>
        <w:t>进一步加大对绍兴港物流园区、集亚物流基地、中国轻纺城国际物流中心等重点物流企业的培育力度，至2020年底，全市A级以上物流企业达38家以上，其中3A级以上25家。积极推动我市网络货运平台建设，培育网络货运经营企业，优化网络货运经营企业经营环境。鼓励物流企业向多式联运经营人、物流全链条服务商转型。（责任单位：市交通运输局、市发改委）</w:t>
      </w:r>
    </w:p>
    <w:p>
      <w:pPr>
        <w:adjustRightInd w:val="0"/>
        <w:snapToGrid w:val="0"/>
        <w:spacing w:line="580" w:lineRule="exact"/>
        <w:rPr>
          <w:color w:val="000000"/>
          <w:szCs w:val="32"/>
        </w:rPr>
      </w:pPr>
    </w:p>
    <w:p>
      <w:pPr>
        <w:adjustRightInd w:val="0"/>
        <w:snapToGrid w:val="0"/>
        <w:spacing w:line="580" w:lineRule="exact"/>
        <w:rPr>
          <w:color w:val="000000"/>
          <w:szCs w:val="32"/>
        </w:rPr>
      </w:pPr>
    </w:p>
    <w:p>
      <w:pPr>
        <w:adjustRightInd w:val="0"/>
        <w:snapToGrid w:val="0"/>
        <w:spacing w:line="580" w:lineRule="exact"/>
        <w:rPr>
          <w:color w:val="000000"/>
          <w:szCs w:val="32"/>
        </w:rPr>
      </w:pPr>
    </w:p>
    <w:p>
      <w:pPr>
        <w:spacing w:line="579" w:lineRule="exact"/>
        <w:ind w:firstLine="960" w:firstLineChars="300"/>
        <w:rPr>
          <w:bCs/>
          <w:color w:val="000000"/>
          <w:szCs w:val="32"/>
        </w:rPr>
        <w:sectPr>
          <w:footerReference r:id="rId3" w:type="default"/>
          <w:footerReference r:id="rId4" w:type="even"/>
          <w:pgSz w:w="11906" w:h="16838"/>
          <w:pgMar w:top="2098" w:right="1531" w:bottom="1871" w:left="1531" w:header="851" w:footer="1531" w:gutter="0"/>
          <w:cols w:space="720" w:num="1"/>
          <w:docGrid w:linePitch="579" w:charSpace="-1024"/>
        </w:sectPr>
      </w:pPr>
    </w:p>
    <w:p>
      <w:pPr>
        <w:spacing w:line="579" w:lineRule="exact"/>
        <w:rPr>
          <w:rFonts w:ascii="黑体" w:hAnsi="黑体" w:eastAsia="黑体"/>
          <w:bCs/>
          <w:color w:val="000000"/>
          <w:szCs w:val="32"/>
        </w:rPr>
      </w:pPr>
      <w:r>
        <w:rPr>
          <w:rFonts w:ascii="黑体" w:hAnsi="黑体" w:eastAsia="黑体"/>
          <w:bCs/>
          <w:color w:val="000000"/>
          <w:szCs w:val="32"/>
        </w:rPr>
        <w:t>附件</w:t>
      </w:r>
    </w:p>
    <w:p>
      <w:pPr>
        <w:spacing w:line="579" w:lineRule="exact"/>
        <w:jc w:val="center"/>
        <w:rPr>
          <w:rFonts w:eastAsia="楷体_GB2312"/>
          <w:bCs/>
          <w:color w:val="000000"/>
          <w:szCs w:val="32"/>
        </w:rPr>
      </w:pPr>
      <w:r>
        <w:rPr>
          <w:rFonts w:eastAsia="方正小标宋简体"/>
          <w:bCs/>
          <w:color w:val="000000"/>
          <w:sz w:val="44"/>
          <w:szCs w:val="44"/>
        </w:rPr>
        <w:t>绍兴市物流降本增效综合改革试点2020年度工作安排</w:t>
      </w:r>
    </w:p>
    <w:tbl>
      <w:tblPr>
        <w:tblStyle w:val="4"/>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32"/>
        <w:gridCol w:w="1558"/>
        <w:gridCol w:w="2361"/>
        <w:gridCol w:w="4575"/>
        <w:gridCol w:w="1824"/>
        <w:gridCol w:w="181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tblHeader/>
          <w:jc w:val="center"/>
        </w:trPr>
        <w:tc>
          <w:tcPr>
            <w:tcW w:w="832" w:type="dxa"/>
            <w:noWrap w:val="0"/>
            <w:vAlign w:val="center"/>
          </w:tcPr>
          <w:p>
            <w:pPr>
              <w:spacing w:line="300" w:lineRule="exact"/>
              <w:jc w:val="center"/>
              <w:rPr>
                <w:rFonts w:eastAsia="黑体"/>
                <w:bCs/>
                <w:color w:val="000000"/>
                <w:sz w:val="28"/>
                <w:szCs w:val="28"/>
              </w:rPr>
            </w:pPr>
            <w:r>
              <w:rPr>
                <w:rFonts w:eastAsia="黑体"/>
                <w:bCs/>
                <w:color w:val="000000"/>
                <w:sz w:val="28"/>
                <w:szCs w:val="28"/>
              </w:rPr>
              <w:t>序号</w:t>
            </w:r>
          </w:p>
        </w:tc>
        <w:tc>
          <w:tcPr>
            <w:tcW w:w="1558" w:type="dxa"/>
            <w:noWrap w:val="0"/>
            <w:vAlign w:val="center"/>
          </w:tcPr>
          <w:p>
            <w:pPr>
              <w:spacing w:line="300" w:lineRule="exact"/>
              <w:jc w:val="center"/>
              <w:rPr>
                <w:rFonts w:eastAsia="黑体"/>
                <w:bCs/>
                <w:color w:val="000000"/>
                <w:sz w:val="28"/>
                <w:szCs w:val="28"/>
              </w:rPr>
            </w:pPr>
            <w:r>
              <w:rPr>
                <w:rFonts w:eastAsia="黑体"/>
                <w:bCs/>
                <w:color w:val="000000"/>
                <w:sz w:val="28"/>
                <w:szCs w:val="28"/>
              </w:rPr>
              <w:t>重点</w:t>
            </w:r>
          </w:p>
        </w:tc>
        <w:tc>
          <w:tcPr>
            <w:tcW w:w="2361" w:type="dxa"/>
            <w:noWrap w:val="0"/>
            <w:vAlign w:val="center"/>
          </w:tcPr>
          <w:p>
            <w:pPr>
              <w:spacing w:line="300" w:lineRule="exact"/>
              <w:jc w:val="center"/>
              <w:rPr>
                <w:rFonts w:eastAsia="黑体"/>
                <w:bCs/>
                <w:color w:val="000000"/>
                <w:sz w:val="28"/>
                <w:szCs w:val="28"/>
              </w:rPr>
            </w:pPr>
            <w:r>
              <w:rPr>
                <w:rFonts w:eastAsia="黑体"/>
                <w:bCs/>
                <w:color w:val="000000"/>
                <w:sz w:val="28"/>
                <w:szCs w:val="28"/>
              </w:rPr>
              <w:t>重点工作</w:t>
            </w:r>
          </w:p>
        </w:tc>
        <w:tc>
          <w:tcPr>
            <w:tcW w:w="4575" w:type="dxa"/>
            <w:noWrap w:val="0"/>
            <w:vAlign w:val="center"/>
          </w:tcPr>
          <w:p>
            <w:pPr>
              <w:spacing w:line="300" w:lineRule="exact"/>
              <w:jc w:val="center"/>
              <w:rPr>
                <w:rFonts w:eastAsia="黑体"/>
                <w:bCs/>
                <w:color w:val="000000"/>
                <w:sz w:val="28"/>
                <w:szCs w:val="28"/>
              </w:rPr>
            </w:pPr>
            <w:r>
              <w:rPr>
                <w:rFonts w:eastAsia="黑体"/>
                <w:bCs/>
                <w:color w:val="000000"/>
                <w:sz w:val="28"/>
                <w:szCs w:val="28"/>
              </w:rPr>
              <w:t>具体任务</w:t>
            </w:r>
          </w:p>
        </w:tc>
        <w:tc>
          <w:tcPr>
            <w:tcW w:w="1824" w:type="dxa"/>
            <w:noWrap w:val="0"/>
            <w:vAlign w:val="center"/>
          </w:tcPr>
          <w:p>
            <w:pPr>
              <w:spacing w:line="300" w:lineRule="exact"/>
              <w:jc w:val="center"/>
              <w:rPr>
                <w:rFonts w:eastAsia="黑体"/>
                <w:bCs/>
                <w:color w:val="000000"/>
                <w:sz w:val="28"/>
                <w:szCs w:val="28"/>
              </w:rPr>
            </w:pPr>
            <w:r>
              <w:rPr>
                <w:rFonts w:eastAsia="黑体"/>
                <w:bCs/>
                <w:color w:val="000000"/>
                <w:sz w:val="28"/>
                <w:szCs w:val="28"/>
              </w:rPr>
              <w:t>牵头单位</w:t>
            </w:r>
          </w:p>
        </w:tc>
        <w:tc>
          <w:tcPr>
            <w:tcW w:w="1810" w:type="dxa"/>
            <w:noWrap w:val="0"/>
            <w:vAlign w:val="center"/>
          </w:tcPr>
          <w:p>
            <w:pPr>
              <w:spacing w:line="300" w:lineRule="exact"/>
              <w:jc w:val="center"/>
              <w:rPr>
                <w:rFonts w:eastAsia="黑体"/>
                <w:bCs/>
                <w:color w:val="000000"/>
                <w:sz w:val="28"/>
                <w:szCs w:val="28"/>
              </w:rPr>
            </w:pPr>
            <w:r>
              <w:rPr>
                <w:rFonts w:eastAsia="黑体"/>
                <w:bCs/>
                <w:color w:val="000000"/>
                <w:sz w:val="28"/>
                <w:szCs w:val="28"/>
              </w:rPr>
              <w:t>配合单位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832" w:type="dxa"/>
            <w:vMerge w:val="restart"/>
            <w:noWrap w:val="0"/>
            <w:vAlign w:val="center"/>
          </w:tcPr>
          <w:p>
            <w:pPr>
              <w:spacing w:line="300" w:lineRule="exact"/>
              <w:jc w:val="center"/>
              <w:rPr>
                <w:color w:val="000000"/>
                <w:sz w:val="24"/>
              </w:rPr>
            </w:pPr>
            <w:r>
              <w:rPr>
                <w:color w:val="000000"/>
                <w:sz w:val="24"/>
              </w:rPr>
              <w:t>1</w:t>
            </w:r>
          </w:p>
        </w:tc>
        <w:tc>
          <w:tcPr>
            <w:tcW w:w="1558" w:type="dxa"/>
            <w:vMerge w:val="restart"/>
            <w:noWrap w:val="0"/>
            <w:vAlign w:val="center"/>
          </w:tcPr>
          <w:p>
            <w:pPr>
              <w:spacing w:line="300" w:lineRule="exact"/>
              <w:rPr>
                <w:b/>
                <w:color w:val="000000"/>
                <w:sz w:val="24"/>
              </w:rPr>
            </w:pPr>
            <w:r>
              <w:rPr>
                <w:color w:val="000000"/>
                <w:sz w:val="24"/>
              </w:rPr>
              <w:t>着力优化物流营商环境</w:t>
            </w:r>
          </w:p>
        </w:tc>
        <w:tc>
          <w:tcPr>
            <w:tcW w:w="2361" w:type="dxa"/>
            <w:vMerge w:val="restart"/>
            <w:noWrap w:val="0"/>
            <w:vAlign w:val="center"/>
          </w:tcPr>
          <w:p>
            <w:pPr>
              <w:pStyle w:val="7"/>
              <w:topLinePunct/>
              <w:spacing w:line="280" w:lineRule="exact"/>
              <w:ind w:firstLine="0" w:firstLineChars="0"/>
              <w:rPr>
                <w:color w:val="000000"/>
                <w:sz w:val="24"/>
              </w:rPr>
            </w:pPr>
            <w:r>
              <w:rPr>
                <w:color w:val="000000"/>
                <w:sz w:val="24"/>
              </w:rPr>
              <w:t>（一）完善证照电子化和车辆管理制度。</w:t>
            </w:r>
          </w:p>
        </w:tc>
        <w:tc>
          <w:tcPr>
            <w:tcW w:w="4575" w:type="dxa"/>
            <w:noWrap w:val="0"/>
            <w:vAlign w:val="center"/>
          </w:tcPr>
          <w:p>
            <w:pPr>
              <w:spacing w:line="320" w:lineRule="exact"/>
              <w:rPr>
                <w:color w:val="000000"/>
                <w:sz w:val="24"/>
              </w:rPr>
            </w:pPr>
            <w:r>
              <w:rPr>
                <w:color w:val="000000"/>
                <w:sz w:val="24"/>
              </w:rPr>
              <w:t>加快推进运输领域全面电子化，推动资质证照线上申请、审批、签发等流程。</w:t>
            </w:r>
          </w:p>
        </w:tc>
        <w:tc>
          <w:tcPr>
            <w:tcW w:w="1824" w:type="dxa"/>
            <w:tcBorders>
              <w:left w:val="single" w:color="auto" w:sz="4" w:space="0"/>
              <w:right w:val="single" w:color="auto" w:sz="4" w:space="0"/>
            </w:tcBorders>
            <w:noWrap w:val="0"/>
            <w:vAlign w:val="center"/>
          </w:tcPr>
          <w:p>
            <w:pPr>
              <w:spacing w:line="300" w:lineRule="exact"/>
              <w:jc w:val="center"/>
              <w:rPr>
                <w:color w:val="000000"/>
                <w:sz w:val="24"/>
              </w:rPr>
            </w:pPr>
            <w:r>
              <w:rPr>
                <w:color w:val="000000"/>
                <w:sz w:val="24"/>
              </w:rPr>
              <w:t>市交通运输局</w:t>
            </w:r>
          </w:p>
        </w:tc>
        <w:tc>
          <w:tcPr>
            <w:tcW w:w="1810" w:type="dxa"/>
            <w:tcBorders>
              <w:left w:val="single" w:color="auto" w:sz="4" w:space="0"/>
            </w:tcBorders>
            <w:noWrap w:val="0"/>
            <w:vAlign w:val="center"/>
          </w:tcPr>
          <w:p>
            <w:pPr>
              <w:spacing w:line="300" w:lineRule="exact"/>
              <w:jc w:val="center"/>
              <w:rPr>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0" w:type="auto"/>
            <w:vMerge w:val="continue"/>
            <w:noWrap w:val="0"/>
            <w:vAlign w:val="center"/>
          </w:tcPr>
          <w:p>
            <w:pPr>
              <w:spacing w:line="300" w:lineRule="exact"/>
              <w:jc w:val="center"/>
              <w:rPr>
                <w:color w:val="000000"/>
                <w:sz w:val="24"/>
              </w:rPr>
            </w:pPr>
          </w:p>
        </w:tc>
        <w:tc>
          <w:tcPr>
            <w:tcW w:w="0" w:type="auto"/>
            <w:vMerge w:val="continue"/>
            <w:noWrap w:val="0"/>
            <w:vAlign w:val="center"/>
          </w:tcPr>
          <w:p>
            <w:pPr>
              <w:spacing w:line="300" w:lineRule="exact"/>
              <w:rPr>
                <w:b/>
                <w:color w:val="000000"/>
                <w:sz w:val="24"/>
              </w:rPr>
            </w:pPr>
          </w:p>
        </w:tc>
        <w:tc>
          <w:tcPr>
            <w:tcW w:w="0" w:type="auto"/>
            <w:vMerge w:val="continue"/>
            <w:noWrap w:val="0"/>
            <w:vAlign w:val="center"/>
          </w:tcPr>
          <w:p>
            <w:pPr>
              <w:pStyle w:val="7"/>
              <w:topLinePunct/>
              <w:spacing w:line="280" w:lineRule="exact"/>
              <w:ind w:firstLine="0" w:firstLineChars="0"/>
              <w:rPr>
                <w:color w:val="000000"/>
                <w:sz w:val="24"/>
              </w:rPr>
            </w:pPr>
          </w:p>
        </w:tc>
        <w:tc>
          <w:tcPr>
            <w:tcW w:w="4575" w:type="dxa"/>
            <w:noWrap w:val="0"/>
            <w:vAlign w:val="center"/>
          </w:tcPr>
          <w:p>
            <w:pPr>
              <w:spacing w:line="320" w:lineRule="exact"/>
              <w:rPr>
                <w:color w:val="000000"/>
                <w:sz w:val="24"/>
              </w:rPr>
            </w:pPr>
            <w:r>
              <w:rPr>
                <w:color w:val="000000"/>
                <w:sz w:val="24"/>
              </w:rPr>
              <w:t>优化标准化轻微型配送车辆通行证管理模式，加大对经批准的专业化配送公司及提供配送合同或送货证明的车辆的支持。</w:t>
            </w:r>
          </w:p>
          <w:p>
            <w:pPr>
              <w:spacing w:line="320" w:lineRule="exact"/>
              <w:rPr>
                <w:color w:val="000000"/>
                <w:sz w:val="24"/>
              </w:rPr>
            </w:pPr>
            <w:r>
              <w:rPr>
                <w:color w:val="000000"/>
                <w:sz w:val="24"/>
              </w:rPr>
              <w:t>对新能源城市配送车辆，在普通货车申办10条通行线路基础上，给予放宽至15条，对其他确有所需的配送车辆，视情况办理全区域通行证。</w:t>
            </w:r>
          </w:p>
        </w:tc>
        <w:tc>
          <w:tcPr>
            <w:tcW w:w="1824" w:type="dxa"/>
            <w:tcBorders>
              <w:left w:val="single" w:color="auto" w:sz="4" w:space="0"/>
              <w:right w:val="single" w:color="auto" w:sz="4" w:space="0"/>
            </w:tcBorders>
            <w:noWrap w:val="0"/>
            <w:vAlign w:val="center"/>
          </w:tcPr>
          <w:p>
            <w:pPr>
              <w:spacing w:line="300" w:lineRule="exact"/>
              <w:jc w:val="center"/>
              <w:rPr>
                <w:color w:val="000000"/>
                <w:sz w:val="24"/>
              </w:rPr>
            </w:pPr>
            <w:r>
              <w:rPr>
                <w:color w:val="000000"/>
                <w:sz w:val="24"/>
              </w:rPr>
              <w:t>市公安局</w:t>
            </w:r>
          </w:p>
        </w:tc>
        <w:tc>
          <w:tcPr>
            <w:tcW w:w="1810" w:type="dxa"/>
            <w:tcBorders>
              <w:left w:val="single" w:color="auto" w:sz="4" w:space="0"/>
            </w:tcBorders>
            <w:noWrap w:val="0"/>
            <w:vAlign w:val="center"/>
          </w:tcPr>
          <w:p>
            <w:pPr>
              <w:spacing w:line="300" w:lineRule="exact"/>
              <w:jc w:val="center"/>
              <w:rPr>
                <w:color w:val="000000"/>
                <w:sz w:val="24"/>
              </w:rPr>
            </w:pPr>
          </w:p>
          <w:p>
            <w:pPr>
              <w:spacing w:line="300" w:lineRule="exact"/>
              <w:jc w:val="center"/>
              <w:rPr>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0" w:type="auto"/>
            <w:vMerge w:val="continue"/>
            <w:noWrap w:val="0"/>
            <w:vAlign w:val="center"/>
          </w:tcPr>
          <w:p>
            <w:pPr>
              <w:spacing w:line="300" w:lineRule="exact"/>
              <w:jc w:val="center"/>
              <w:rPr>
                <w:color w:val="000000"/>
                <w:sz w:val="24"/>
              </w:rPr>
            </w:pPr>
          </w:p>
        </w:tc>
        <w:tc>
          <w:tcPr>
            <w:tcW w:w="0" w:type="auto"/>
            <w:vMerge w:val="continue"/>
            <w:noWrap w:val="0"/>
            <w:vAlign w:val="center"/>
          </w:tcPr>
          <w:p>
            <w:pPr>
              <w:spacing w:line="300" w:lineRule="exact"/>
              <w:rPr>
                <w:color w:val="000000"/>
                <w:sz w:val="24"/>
              </w:rPr>
            </w:pPr>
          </w:p>
        </w:tc>
        <w:tc>
          <w:tcPr>
            <w:tcW w:w="2361" w:type="dxa"/>
            <w:vMerge w:val="restart"/>
            <w:noWrap w:val="0"/>
            <w:vAlign w:val="center"/>
          </w:tcPr>
          <w:p>
            <w:pPr>
              <w:pStyle w:val="7"/>
              <w:topLinePunct/>
              <w:spacing w:line="280" w:lineRule="exact"/>
              <w:ind w:firstLine="0" w:firstLineChars="0"/>
              <w:rPr>
                <w:color w:val="000000"/>
                <w:sz w:val="24"/>
              </w:rPr>
            </w:pPr>
            <w:r>
              <w:rPr>
                <w:color w:val="000000"/>
                <w:sz w:val="24"/>
              </w:rPr>
              <w:t>（二）科学治理车辆超限超载。</w:t>
            </w:r>
          </w:p>
        </w:tc>
        <w:tc>
          <w:tcPr>
            <w:tcW w:w="4575" w:type="dxa"/>
            <w:noWrap w:val="0"/>
            <w:vAlign w:val="center"/>
          </w:tcPr>
          <w:p>
            <w:pPr>
              <w:spacing w:line="320" w:lineRule="exact"/>
              <w:rPr>
                <w:color w:val="000000"/>
                <w:sz w:val="24"/>
              </w:rPr>
            </w:pPr>
            <w:r>
              <w:rPr>
                <w:color w:val="000000"/>
                <w:sz w:val="24"/>
              </w:rPr>
              <w:t>加大路面执法整治和非现场执法力度，高速公路违法超限超载运输车辆比例降至0.5%以下，普通公路违法超限超载运输车辆明显下降；新增治超非现场执法车道18条，非现场执法处罚率达70%以上。明确定点联合执法模式，严格落实“一超四罚”处置机制，加强对非法改装企业的源头监管，加强日常执法检查。</w:t>
            </w:r>
          </w:p>
        </w:tc>
        <w:tc>
          <w:tcPr>
            <w:tcW w:w="1824" w:type="dxa"/>
            <w:tcBorders>
              <w:left w:val="single" w:color="auto" w:sz="4" w:space="0"/>
              <w:right w:val="single" w:color="auto" w:sz="4" w:space="0"/>
            </w:tcBorders>
            <w:noWrap w:val="0"/>
            <w:vAlign w:val="center"/>
          </w:tcPr>
          <w:p>
            <w:pPr>
              <w:spacing w:line="300" w:lineRule="exact"/>
              <w:jc w:val="center"/>
              <w:rPr>
                <w:color w:val="000000"/>
                <w:sz w:val="24"/>
              </w:rPr>
            </w:pPr>
            <w:r>
              <w:rPr>
                <w:color w:val="000000"/>
                <w:sz w:val="24"/>
              </w:rPr>
              <w:t>市交通运输局</w:t>
            </w:r>
          </w:p>
        </w:tc>
        <w:tc>
          <w:tcPr>
            <w:tcW w:w="1810" w:type="dxa"/>
            <w:tcBorders>
              <w:left w:val="single" w:color="auto" w:sz="4" w:space="0"/>
              <w:bottom w:val="single" w:color="auto" w:sz="4" w:space="0"/>
            </w:tcBorders>
            <w:noWrap w:val="0"/>
            <w:vAlign w:val="center"/>
          </w:tcPr>
          <w:p>
            <w:pPr>
              <w:spacing w:line="300" w:lineRule="exact"/>
              <w:jc w:val="center"/>
              <w:rPr>
                <w:color w:val="000000"/>
                <w:sz w:val="24"/>
              </w:rPr>
            </w:pPr>
            <w:r>
              <w:rPr>
                <w:color w:val="000000"/>
                <w:sz w:val="24"/>
              </w:rPr>
              <w:t>市公安局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0" w:type="auto"/>
            <w:vMerge w:val="continue"/>
            <w:noWrap w:val="0"/>
            <w:vAlign w:val="center"/>
          </w:tcPr>
          <w:p>
            <w:pPr>
              <w:spacing w:line="300" w:lineRule="exact"/>
              <w:jc w:val="center"/>
              <w:rPr>
                <w:color w:val="000000"/>
                <w:sz w:val="24"/>
              </w:rPr>
            </w:pPr>
          </w:p>
        </w:tc>
        <w:tc>
          <w:tcPr>
            <w:tcW w:w="0" w:type="auto"/>
            <w:vMerge w:val="continue"/>
            <w:noWrap w:val="0"/>
            <w:vAlign w:val="center"/>
          </w:tcPr>
          <w:p>
            <w:pPr>
              <w:spacing w:line="300" w:lineRule="exact"/>
              <w:rPr>
                <w:color w:val="000000"/>
                <w:sz w:val="24"/>
              </w:rPr>
            </w:pPr>
          </w:p>
        </w:tc>
        <w:tc>
          <w:tcPr>
            <w:tcW w:w="0" w:type="auto"/>
            <w:vMerge w:val="continue"/>
            <w:noWrap w:val="0"/>
            <w:vAlign w:val="center"/>
          </w:tcPr>
          <w:p>
            <w:pPr>
              <w:pStyle w:val="7"/>
              <w:topLinePunct/>
              <w:spacing w:line="280" w:lineRule="exact"/>
              <w:ind w:firstLine="0" w:firstLineChars="0"/>
              <w:rPr>
                <w:color w:val="000000"/>
                <w:sz w:val="24"/>
              </w:rPr>
            </w:pPr>
          </w:p>
        </w:tc>
        <w:tc>
          <w:tcPr>
            <w:tcW w:w="4575" w:type="dxa"/>
            <w:tcBorders>
              <w:bottom w:val="single" w:color="auto" w:sz="4" w:space="0"/>
            </w:tcBorders>
            <w:noWrap w:val="0"/>
            <w:vAlign w:val="center"/>
          </w:tcPr>
          <w:p>
            <w:pPr>
              <w:spacing w:line="320" w:lineRule="exact"/>
              <w:rPr>
                <w:color w:val="000000"/>
                <w:sz w:val="24"/>
              </w:rPr>
            </w:pPr>
            <w:r>
              <w:rPr>
                <w:color w:val="000000"/>
                <w:sz w:val="24"/>
              </w:rPr>
              <w:t>依法组织货车市场专项执法检查，对未获强制性产品认证出厂、销售、货证不符的货车生产销售企业予以处罚。</w:t>
            </w:r>
          </w:p>
        </w:tc>
        <w:tc>
          <w:tcPr>
            <w:tcW w:w="1824" w:type="dxa"/>
            <w:tcBorders>
              <w:left w:val="single" w:color="auto" w:sz="4" w:space="0"/>
              <w:bottom w:val="single" w:color="auto" w:sz="4" w:space="0"/>
              <w:right w:val="single" w:color="auto" w:sz="4" w:space="0"/>
            </w:tcBorders>
            <w:noWrap w:val="0"/>
            <w:vAlign w:val="center"/>
          </w:tcPr>
          <w:p>
            <w:pPr>
              <w:spacing w:line="300" w:lineRule="exact"/>
              <w:jc w:val="center"/>
              <w:rPr>
                <w:color w:val="000000"/>
                <w:sz w:val="24"/>
              </w:rPr>
            </w:pPr>
            <w:r>
              <w:rPr>
                <w:color w:val="000000"/>
                <w:sz w:val="24"/>
              </w:rPr>
              <w:t>市市场监管局</w:t>
            </w:r>
          </w:p>
        </w:tc>
        <w:tc>
          <w:tcPr>
            <w:tcW w:w="1810" w:type="dxa"/>
            <w:tcBorders>
              <w:left w:val="single" w:color="auto" w:sz="4" w:space="0"/>
              <w:bottom w:val="single" w:color="auto" w:sz="4" w:space="0"/>
            </w:tcBorders>
            <w:noWrap w:val="0"/>
            <w:vAlign w:val="center"/>
          </w:tcPr>
          <w:p>
            <w:pPr>
              <w:spacing w:line="300" w:lineRule="exact"/>
              <w:jc w:val="center"/>
              <w:rPr>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0" w:type="auto"/>
            <w:vMerge w:val="continue"/>
            <w:noWrap w:val="0"/>
            <w:vAlign w:val="center"/>
          </w:tcPr>
          <w:p>
            <w:pPr>
              <w:spacing w:line="300" w:lineRule="exact"/>
              <w:jc w:val="center"/>
              <w:rPr>
                <w:color w:val="000000"/>
                <w:sz w:val="24"/>
              </w:rPr>
            </w:pPr>
          </w:p>
        </w:tc>
        <w:tc>
          <w:tcPr>
            <w:tcW w:w="0" w:type="auto"/>
            <w:vMerge w:val="continue"/>
            <w:noWrap w:val="0"/>
            <w:vAlign w:val="center"/>
          </w:tcPr>
          <w:p>
            <w:pPr>
              <w:spacing w:line="300" w:lineRule="exact"/>
              <w:rPr>
                <w:color w:val="000000"/>
                <w:sz w:val="24"/>
              </w:rPr>
            </w:pPr>
          </w:p>
        </w:tc>
        <w:tc>
          <w:tcPr>
            <w:tcW w:w="0" w:type="auto"/>
            <w:vMerge w:val="continue"/>
            <w:tcBorders>
              <w:bottom w:val="single" w:color="auto" w:sz="4" w:space="0"/>
            </w:tcBorders>
            <w:noWrap w:val="0"/>
            <w:vAlign w:val="center"/>
          </w:tcPr>
          <w:p>
            <w:pPr>
              <w:pStyle w:val="7"/>
              <w:topLinePunct/>
              <w:spacing w:line="280" w:lineRule="exact"/>
              <w:ind w:firstLine="0" w:firstLineChars="0"/>
              <w:rPr>
                <w:color w:val="000000"/>
                <w:sz w:val="24"/>
              </w:rPr>
            </w:pPr>
          </w:p>
        </w:tc>
        <w:tc>
          <w:tcPr>
            <w:tcW w:w="4575" w:type="dxa"/>
            <w:tcBorders>
              <w:bottom w:val="single" w:color="auto" w:sz="4" w:space="0"/>
            </w:tcBorders>
            <w:noWrap w:val="0"/>
            <w:vAlign w:val="center"/>
          </w:tcPr>
          <w:p>
            <w:pPr>
              <w:spacing w:line="320" w:lineRule="exact"/>
              <w:rPr>
                <w:color w:val="000000"/>
                <w:sz w:val="24"/>
              </w:rPr>
            </w:pPr>
            <w:r>
              <w:rPr>
                <w:color w:val="000000"/>
                <w:sz w:val="24"/>
              </w:rPr>
              <w:t>开展老旧营运车辆淘汰工作，到2020年底，共淘汰2700辆老旧营运货车。</w:t>
            </w:r>
          </w:p>
        </w:tc>
        <w:tc>
          <w:tcPr>
            <w:tcW w:w="1824" w:type="dxa"/>
            <w:tcBorders>
              <w:left w:val="single" w:color="auto" w:sz="4" w:space="0"/>
              <w:bottom w:val="single" w:color="auto" w:sz="4" w:space="0"/>
              <w:right w:val="single" w:color="auto" w:sz="4" w:space="0"/>
            </w:tcBorders>
            <w:noWrap w:val="0"/>
            <w:vAlign w:val="center"/>
          </w:tcPr>
          <w:p>
            <w:pPr>
              <w:spacing w:line="300" w:lineRule="exact"/>
              <w:jc w:val="center"/>
              <w:rPr>
                <w:color w:val="000000"/>
                <w:sz w:val="24"/>
              </w:rPr>
            </w:pPr>
            <w:r>
              <w:rPr>
                <w:color w:val="000000"/>
                <w:sz w:val="24"/>
              </w:rPr>
              <w:t>市交通运输局</w:t>
            </w:r>
          </w:p>
        </w:tc>
        <w:tc>
          <w:tcPr>
            <w:tcW w:w="1810" w:type="dxa"/>
            <w:tcBorders>
              <w:left w:val="single" w:color="auto" w:sz="4" w:space="0"/>
              <w:bottom w:val="single" w:color="auto" w:sz="4" w:space="0"/>
            </w:tcBorders>
            <w:noWrap w:val="0"/>
            <w:vAlign w:val="center"/>
          </w:tcPr>
          <w:p>
            <w:pPr>
              <w:spacing w:line="300" w:lineRule="exact"/>
              <w:jc w:val="center"/>
              <w:rPr>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0" w:type="auto"/>
            <w:vMerge w:val="continue"/>
            <w:noWrap w:val="0"/>
            <w:vAlign w:val="center"/>
          </w:tcPr>
          <w:p>
            <w:pPr>
              <w:spacing w:line="300" w:lineRule="exact"/>
              <w:jc w:val="center"/>
              <w:rPr>
                <w:color w:val="000000"/>
                <w:sz w:val="24"/>
              </w:rPr>
            </w:pPr>
          </w:p>
        </w:tc>
        <w:tc>
          <w:tcPr>
            <w:tcW w:w="0" w:type="auto"/>
            <w:vMerge w:val="continue"/>
            <w:noWrap w:val="0"/>
            <w:vAlign w:val="center"/>
          </w:tcPr>
          <w:p>
            <w:pPr>
              <w:spacing w:line="300" w:lineRule="exact"/>
              <w:rPr>
                <w:color w:val="000000"/>
                <w:sz w:val="24"/>
              </w:rPr>
            </w:pPr>
          </w:p>
        </w:tc>
        <w:tc>
          <w:tcPr>
            <w:tcW w:w="2361" w:type="dxa"/>
            <w:vMerge w:val="restart"/>
            <w:noWrap w:val="0"/>
            <w:vAlign w:val="center"/>
          </w:tcPr>
          <w:p>
            <w:pPr>
              <w:pStyle w:val="7"/>
              <w:topLinePunct/>
              <w:spacing w:line="280" w:lineRule="exact"/>
              <w:ind w:firstLine="0" w:firstLineChars="0"/>
              <w:rPr>
                <w:color w:val="000000"/>
                <w:sz w:val="24"/>
              </w:rPr>
            </w:pPr>
            <w:r>
              <w:rPr>
                <w:color w:val="000000"/>
                <w:sz w:val="24"/>
              </w:rPr>
              <w:t>（三）优化城市配送车辆管控。</w:t>
            </w:r>
          </w:p>
        </w:tc>
        <w:tc>
          <w:tcPr>
            <w:tcW w:w="4575" w:type="dxa"/>
            <w:tcBorders>
              <w:bottom w:val="single" w:color="auto" w:sz="4" w:space="0"/>
            </w:tcBorders>
            <w:noWrap w:val="0"/>
            <w:vAlign w:val="center"/>
          </w:tcPr>
          <w:p>
            <w:pPr>
              <w:spacing w:line="320" w:lineRule="exact"/>
              <w:rPr>
                <w:color w:val="000000"/>
                <w:sz w:val="24"/>
              </w:rPr>
            </w:pPr>
            <w:r>
              <w:rPr>
                <w:color w:val="000000"/>
                <w:sz w:val="24"/>
              </w:rPr>
              <w:t>完善以综合物流中心、公共配送中心、末端配送网点为支撑的三级配送网络，合理设置城市配送车辆停靠装卸相关设施。</w:t>
            </w:r>
          </w:p>
        </w:tc>
        <w:tc>
          <w:tcPr>
            <w:tcW w:w="1824" w:type="dxa"/>
            <w:tcBorders>
              <w:left w:val="single" w:color="auto" w:sz="4" w:space="0"/>
              <w:bottom w:val="single" w:color="auto" w:sz="4" w:space="0"/>
              <w:right w:val="single" w:color="auto" w:sz="4" w:space="0"/>
            </w:tcBorders>
            <w:noWrap w:val="0"/>
            <w:vAlign w:val="center"/>
          </w:tcPr>
          <w:p>
            <w:pPr>
              <w:spacing w:line="300" w:lineRule="exact"/>
              <w:jc w:val="center"/>
              <w:rPr>
                <w:color w:val="000000"/>
                <w:sz w:val="24"/>
              </w:rPr>
            </w:pPr>
            <w:r>
              <w:rPr>
                <w:color w:val="000000"/>
                <w:sz w:val="24"/>
              </w:rPr>
              <w:t>市发改委</w:t>
            </w:r>
          </w:p>
        </w:tc>
        <w:tc>
          <w:tcPr>
            <w:tcW w:w="1810" w:type="dxa"/>
            <w:tcBorders>
              <w:left w:val="single" w:color="auto" w:sz="4" w:space="0"/>
              <w:bottom w:val="single" w:color="auto" w:sz="4" w:space="0"/>
            </w:tcBorders>
            <w:noWrap w:val="0"/>
            <w:vAlign w:val="center"/>
          </w:tcPr>
          <w:p>
            <w:pPr>
              <w:spacing w:line="300" w:lineRule="exact"/>
              <w:jc w:val="center"/>
              <w:rPr>
                <w:color w:val="000000"/>
                <w:sz w:val="24"/>
              </w:rPr>
            </w:pPr>
            <w:r>
              <w:rPr>
                <w:color w:val="000000"/>
                <w:sz w:val="24"/>
              </w:rPr>
              <w:t>市邮政管理局市交通运输局</w:t>
            </w:r>
          </w:p>
          <w:p>
            <w:pPr>
              <w:spacing w:line="300" w:lineRule="exact"/>
              <w:jc w:val="center"/>
              <w:rPr>
                <w:color w:val="000000"/>
                <w:sz w:val="24"/>
              </w:rPr>
            </w:pPr>
            <w:r>
              <w:rPr>
                <w:color w:val="000000"/>
                <w:sz w:val="24"/>
              </w:rPr>
              <w:t>市商务局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0" w:type="auto"/>
            <w:vMerge w:val="continue"/>
            <w:noWrap w:val="0"/>
            <w:vAlign w:val="center"/>
          </w:tcPr>
          <w:p>
            <w:pPr>
              <w:spacing w:line="300" w:lineRule="exact"/>
              <w:jc w:val="center"/>
              <w:rPr>
                <w:color w:val="000000"/>
                <w:sz w:val="24"/>
              </w:rPr>
            </w:pPr>
          </w:p>
        </w:tc>
        <w:tc>
          <w:tcPr>
            <w:tcW w:w="0" w:type="auto"/>
            <w:vMerge w:val="continue"/>
            <w:noWrap w:val="0"/>
            <w:vAlign w:val="center"/>
          </w:tcPr>
          <w:p>
            <w:pPr>
              <w:spacing w:line="300" w:lineRule="exact"/>
              <w:rPr>
                <w:color w:val="000000"/>
                <w:sz w:val="24"/>
              </w:rPr>
            </w:pPr>
          </w:p>
        </w:tc>
        <w:tc>
          <w:tcPr>
            <w:tcW w:w="0" w:type="auto"/>
            <w:vMerge w:val="continue"/>
            <w:noWrap w:val="0"/>
            <w:vAlign w:val="center"/>
          </w:tcPr>
          <w:p>
            <w:pPr>
              <w:pStyle w:val="7"/>
              <w:topLinePunct/>
              <w:spacing w:line="280" w:lineRule="exact"/>
              <w:ind w:firstLine="0" w:firstLineChars="0"/>
              <w:rPr>
                <w:color w:val="000000"/>
                <w:sz w:val="24"/>
              </w:rPr>
            </w:pPr>
          </w:p>
        </w:tc>
        <w:tc>
          <w:tcPr>
            <w:tcW w:w="4575" w:type="dxa"/>
            <w:tcBorders>
              <w:bottom w:val="single" w:color="auto" w:sz="4" w:space="0"/>
            </w:tcBorders>
            <w:noWrap w:val="0"/>
            <w:vAlign w:val="center"/>
          </w:tcPr>
          <w:p>
            <w:pPr>
              <w:spacing w:line="320" w:lineRule="exact"/>
              <w:rPr>
                <w:color w:val="000000"/>
                <w:sz w:val="24"/>
              </w:rPr>
            </w:pPr>
            <w:r>
              <w:rPr>
                <w:color w:val="000000"/>
                <w:sz w:val="24"/>
              </w:rPr>
              <w:t>出台大件货物配送车辆的标准，统一发放通行证，允许临时停靠，破解城市配送“最后100米”问题。</w:t>
            </w:r>
          </w:p>
        </w:tc>
        <w:tc>
          <w:tcPr>
            <w:tcW w:w="1824" w:type="dxa"/>
            <w:tcBorders>
              <w:left w:val="single" w:color="auto" w:sz="4" w:space="0"/>
              <w:bottom w:val="single" w:color="auto" w:sz="4" w:space="0"/>
              <w:right w:val="single" w:color="auto" w:sz="4" w:space="0"/>
            </w:tcBorders>
            <w:noWrap w:val="0"/>
            <w:vAlign w:val="center"/>
          </w:tcPr>
          <w:p>
            <w:pPr>
              <w:spacing w:line="300" w:lineRule="exact"/>
              <w:jc w:val="center"/>
              <w:rPr>
                <w:color w:val="000000"/>
                <w:sz w:val="24"/>
              </w:rPr>
            </w:pPr>
            <w:r>
              <w:rPr>
                <w:color w:val="000000"/>
                <w:sz w:val="24"/>
              </w:rPr>
              <w:t>市公安局</w:t>
            </w:r>
          </w:p>
        </w:tc>
        <w:tc>
          <w:tcPr>
            <w:tcW w:w="1810" w:type="dxa"/>
            <w:tcBorders>
              <w:left w:val="single" w:color="auto" w:sz="4" w:space="0"/>
              <w:bottom w:val="single" w:color="auto" w:sz="4" w:space="0"/>
            </w:tcBorders>
            <w:noWrap w:val="0"/>
            <w:vAlign w:val="center"/>
          </w:tcPr>
          <w:p>
            <w:pPr>
              <w:spacing w:line="300" w:lineRule="exact"/>
              <w:jc w:val="center"/>
              <w:rPr>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0" w:type="auto"/>
            <w:vMerge w:val="continue"/>
            <w:noWrap w:val="0"/>
            <w:vAlign w:val="center"/>
          </w:tcPr>
          <w:p>
            <w:pPr>
              <w:spacing w:line="300" w:lineRule="exact"/>
              <w:jc w:val="center"/>
              <w:rPr>
                <w:color w:val="000000"/>
                <w:sz w:val="24"/>
              </w:rPr>
            </w:pPr>
          </w:p>
        </w:tc>
        <w:tc>
          <w:tcPr>
            <w:tcW w:w="0" w:type="auto"/>
            <w:vMerge w:val="continue"/>
            <w:noWrap w:val="0"/>
            <w:vAlign w:val="center"/>
          </w:tcPr>
          <w:p>
            <w:pPr>
              <w:spacing w:line="300" w:lineRule="exact"/>
              <w:rPr>
                <w:color w:val="000000"/>
                <w:sz w:val="24"/>
              </w:rPr>
            </w:pPr>
          </w:p>
        </w:tc>
        <w:tc>
          <w:tcPr>
            <w:tcW w:w="0" w:type="auto"/>
            <w:vMerge w:val="continue"/>
            <w:noWrap w:val="0"/>
            <w:vAlign w:val="center"/>
          </w:tcPr>
          <w:p>
            <w:pPr>
              <w:pStyle w:val="7"/>
              <w:topLinePunct/>
              <w:spacing w:line="280" w:lineRule="exact"/>
              <w:ind w:firstLine="0" w:firstLineChars="0"/>
              <w:rPr>
                <w:color w:val="000000"/>
                <w:sz w:val="24"/>
              </w:rPr>
            </w:pPr>
          </w:p>
        </w:tc>
        <w:tc>
          <w:tcPr>
            <w:tcW w:w="4575" w:type="dxa"/>
            <w:tcBorders>
              <w:top w:val="single" w:color="auto" w:sz="4" w:space="0"/>
            </w:tcBorders>
            <w:noWrap w:val="0"/>
            <w:vAlign w:val="center"/>
          </w:tcPr>
          <w:p>
            <w:pPr>
              <w:spacing w:line="320" w:lineRule="exact"/>
              <w:rPr>
                <w:color w:val="000000"/>
                <w:sz w:val="24"/>
              </w:rPr>
            </w:pPr>
            <w:r>
              <w:rPr>
                <w:color w:val="000000"/>
                <w:sz w:val="24"/>
              </w:rPr>
              <w:t>鼓励发展共同配送、统一配送、集中配送、分时配送等集约化配送。</w:t>
            </w:r>
          </w:p>
        </w:tc>
        <w:tc>
          <w:tcPr>
            <w:tcW w:w="1824" w:type="dxa"/>
            <w:tcBorders>
              <w:top w:val="single" w:color="auto" w:sz="4" w:space="0"/>
              <w:left w:val="single" w:color="auto" w:sz="4" w:space="0"/>
              <w:right w:val="single" w:color="auto" w:sz="4" w:space="0"/>
            </w:tcBorders>
            <w:noWrap w:val="0"/>
            <w:vAlign w:val="center"/>
          </w:tcPr>
          <w:p>
            <w:pPr>
              <w:spacing w:line="300" w:lineRule="exact"/>
              <w:jc w:val="center"/>
              <w:rPr>
                <w:color w:val="000000"/>
                <w:sz w:val="24"/>
              </w:rPr>
            </w:pPr>
            <w:r>
              <w:rPr>
                <w:color w:val="000000"/>
                <w:sz w:val="24"/>
              </w:rPr>
              <w:t>市邮政管理局</w:t>
            </w:r>
          </w:p>
        </w:tc>
        <w:tc>
          <w:tcPr>
            <w:tcW w:w="1810" w:type="dxa"/>
            <w:tcBorders>
              <w:top w:val="single" w:color="auto" w:sz="4" w:space="0"/>
              <w:left w:val="single" w:color="auto" w:sz="4" w:space="0"/>
            </w:tcBorders>
            <w:noWrap w:val="0"/>
            <w:vAlign w:val="center"/>
          </w:tcPr>
          <w:p>
            <w:pPr>
              <w:spacing w:line="300" w:lineRule="exact"/>
              <w:jc w:val="center"/>
              <w:rPr>
                <w:color w:val="000000"/>
                <w:sz w:val="24"/>
              </w:rPr>
            </w:pPr>
            <w:r>
              <w:rPr>
                <w:color w:val="000000"/>
                <w:sz w:val="24"/>
              </w:rPr>
              <w:t>市发改委</w:t>
            </w:r>
          </w:p>
          <w:p>
            <w:pPr>
              <w:spacing w:line="300" w:lineRule="exact"/>
              <w:jc w:val="center"/>
              <w:rPr>
                <w:color w:val="000000"/>
                <w:sz w:val="24"/>
              </w:rPr>
            </w:pPr>
            <w:r>
              <w:rPr>
                <w:color w:val="000000"/>
                <w:sz w:val="24"/>
              </w:rPr>
              <w:t>市交通运输局</w:t>
            </w:r>
          </w:p>
          <w:p>
            <w:pPr>
              <w:spacing w:line="300" w:lineRule="exact"/>
              <w:jc w:val="center"/>
              <w:rPr>
                <w:color w:val="000000"/>
                <w:sz w:val="24"/>
              </w:rPr>
            </w:pPr>
            <w:r>
              <w:rPr>
                <w:color w:val="000000"/>
                <w:sz w:val="24"/>
              </w:rPr>
              <w:t>市商务局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0" w:type="auto"/>
            <w:vMerge w:val="continue"/>
            <w:noWrap w:val="0"/>
            <w:vAlign w:val="center"/>
          </w:tcPr>
          <w:p>
            <w:pPr>
              <w:spacing w:line="300" w:lineRule="exact"/>
              <w:jc w:val="center"/>
              <w:rPr>
                <w:color w:val="000000"/>
                <w:sz w:val="24"/>
              </w:rPr>
            </w:pPr>
          </w:p>
        </w:tc>
        <w:tc>
          <w:tcPr>
            <w:tcW w:w="0" w:type="auto"/>
            <w:vMerge w:val="continue"/>
            <w:noWrap w:val="0"/>
            <w:vAlign w:val="center"/>
          </w:tcPr>
          <w:p>
            <w:pPr>
              <w:spacing w:line="300" w:lineRule="exact"/>
              <w:rPr>
                <w:b/>
                <w:color w:val="000000"/>
                <w:sz w:val="24"/>
              </w:rPr>
            </w:pPr>
          </w:p>
        </w:tc>
        <w:tc>
          <w:tcPr>
            <w:tcW w:w="2361" w:type="dxa"/>
            <w:noWrap w:val="0"/>
            <w:vAlign w:val="center"/>
          </w:tcPr>
          <w:p>
            <w:pPr>
              <w:pStyle w:val="7"/>
              <w:spacing w:line="280" w:lineRule="exact"/>
              <w:ind w:firstLine="0" w:firstLineChars="0"/>
              <w:rPr>
                <w:color w:val="000000"/>
                <w:sz w:val="24"/>
              </w:rPr>
            </w:pPr>
            <w:r>
              <w:rPr>
                <w:color w:val="000000"/>
                <w:sz w:val="24"/>
              </w:rPr>
              <w:t>（四）维护货运市场通行秩序。</w:t>
            </w:r>
          </w:p>
        </w:tc>
        <w:tc>
          <w:tcPr>
            <w:tcW w:w="4575" w:type="dxa"/>
            <w:noWrap w:val="0"/>
            <w:vAlign w:val="center"/>
          </w:tcPr>
          <w:p>
            <w:pPr>
              <w:spacing w:line="320" w:lineRule="exact"/>
              <w:rPr>
                <w:color w:val="000000"/>
                <w:sz w:val="24"/>
              </w:rPr>
            </w:pPr>
            <w:r>
              <w:rPr>
                <w:color w:val="000000"/>
                <w:sz w:val="24"/>
              </w:rPr>
              <w:t>严厉打击高速逃费、超载车辆，维护高速公路通行秩序，畅通投诉举报渠道，及时处理、回应社会关切。对运输配送生活必需品、药品、鲜活农产品、冷藏保鲜产品车辆的轻微交通违法行为，未影响道路通行的，给予适当的通行便利。</w:t>
            </w:r>
          </w:p>
        </w:tc>
        <w:tc>
          <w:tcPr>
            <w:tcW w:w="1824" w:type="dxa"/>
            <w:tcBorders>
              <w:left w:val="single" w:color="auto" w:sz="4" w:space="0"/>
              <w:right w:val="single" w:color="auto" w:sz="4" w:space="0"/>
            </w:tcBorders>
            <w:noWrap w:val="0"/>
            <w:vAlign w:val="center"/>
          </w:tcPr>
          <w:p>
            <w:pPr>
              <w:spacing w:line="300" w:lineRule="exact"/>
              <w:jc w:val="center"/>
              <w:rPr>
                <w:color w:val="000000"/>
                <w:sz w:val="24"/>
              </w:rPr>
            </w:pPr>
            <w:r>
              <w:rPr>
                <w:color w:val="000000"/>
                <w:sz w:val="24"/>
              </w:rPr>
              <w:t>市公安局</w:t>
            </w:r>
          </w:p>
        </w:tc>
        <w:tc>
          <w:tcPr>
            <w:tcW w:w="1810" w:type="dxa"/>
            <w:tcBorders>
              <w:left w:val="single" w:color="auto" w:sz="4" w:space="0"/>
            </w:tcBorders>
            <w:noWrap w:val="0"/>
            <w:vAlign w:val="center"/>
          </w:tcPr>
          <w:p>
            <w:pPr>
              <w:spacing w:line="300" w:lineRule="exact"/>
              <w:jc w:val="center"/>
              <w:rPr>
                <w:color w:val="000000"/>
                <w:sz w:val="24"/>
              </w:rPr>
            </w:pPr>
            <w:r>
              <w:rPr>
                <w:color w:val="000000"/>
                <w:sz w:val="24"/>
              </w:rPr>
              <w:t>市交通运输局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0" w:type="auto"/>
            <w:vMerge w:val="continue"/>
            <w:noWrap w:val="0"/>
            <w:vAlign w:val="center"/>
          </w:tcPr>
          <w:p>
            <w:pPr>
              <w:spacing w:line="300" w:lineRule="exact"/>
              <w:jc w:val="center"/>
              <w:rPr>
                <w:color w:val="000000"/>
                <w:sz w:val="24"/>
              </w:rPr>
            </w:pPr>
          </w:p>
        </w:tc>
        <w:tc>
          <w:tcPr>
            <w:tcW w:w="0" w:type="auto"/>
            <w:vMerge w:val="continue"/>
            <w:noWrap w:val="0"/>
            <w:vAlign w:val="center"/>
          </w:tcPr>
          <w:p>
            <w:pPr>
              <w:spacing w:line="300" w:lineRule="exact"/>
              <w:rPr>
                <w:color w:val="000000"/>
                <w:sz w:val="24"/>
              </w:rPr>
            </w:pPr>
          </w:p>
        </w:tc>
        <w:tc>
          <w:tcPr>
            <w:tcW w:w="2361" w:type="dxa"/>
            <w:vMerge w:val="restart"/>
            <w:noWrap w:val="0"/>
            <w:vAlign w:val="center"/>
          </w:tcPr>
          <w:p>
            <w:pPr>
              <w:pStyle w:val="7"/>
              <w:spacing w:line="280" w:lineRule="exact"/>
              <w:ind w:firstLine="0" w:firstLineChars="0"/>
              <w:rPr>
                <w:color w:val="000000"/>
                <w:sz w:val="24"/>
              </w:rPr>
            </w:pPr>
            <w:r>
              <w:rPr>
                <w:color w:val="000000"/>
                <w:sz w:val="24"/>
              </w:rPr>
              <w:t>（五）加强物流领域收费监管。</w:t>
            </w:r>
          </w:p>
        </w:tc>
        <w:tc>
          <w:tcPr>
            <w:tcW w:w="4575" w:type="dxa"/>
            <w:noWrap w:val="0"/>
            <w:vAlign w:val="center"/>
          </w:tcPr>
          <w:p>
            <w:pPr>
              <w:spacing w:line="320" w:lineRule="exact"/>
              <w:rPr>
                <w:color w:val="000000"/>
                <w:sz w:val="24"/>
              </w:rPr>
            </w:pPr>
            <w:r>
              <w:rPr>
                <w:color w:val="000000"/>
                <w:sz w:val="24"/>
              </w:rPr>
              <w:t>开展物流领域收费专项检查,着力解决“乱收费”“乱罚款”等问题，重点查处货运收费不执行政府定价、指导价，对明令取消的收费项目继续收费，未执行鲜活农产品“绿色通道”政策，以及高速公路救援等单位超过政府规定标准收费等行为。</w:t>
            </w:r>
          </w:p>
        </w:tc>
        <w:tc>
          <w:tcPr>
            <w:tcW w:w="1824" w:type="dxa"/>
            <w:tcBorders>
              <w:left w:val="single" w:color="auto" w:sz="4" w:space="0"/>
              <w:right w:val="single" w:color="auto" w:sz="4" w:space="0"/>
            </w:tcBorders>
            <w:noWrap w:val="0"/>
            <w:vAlign w:val="center"/>
          </w:tcPr>
          <w:p>
            <w:pPr>
              <w:spacing w:line="300" w:lineRule="exact"/>
              <w:jc w:val="center"/>
              <w:rPr>
                <w:color w:val="000000"/>
                <w:sz w:val="24"/>
              </w:rPr>
            </w:pPr>
            <w:r>
              <w:rPr>
                <w:color w:val="000000"/>
                <w:sz w:val="24"/>
              </w:rPr>
              <w:t>市市场监管局</w:t>
            </w:r>
          </w:p>
        </w:tc>
        <w:tc>
          <w:tcPr>
            <w:tcW w:w="1810" w:type="dxa"/>
            <w:tcBorders>
              <w:left w:val="single" w:color="auto" w:sz="4" w:space="0"/>
            </w:tcBorders>
            <w:noWrap w:val="0"/>
            <w:vAlign w:val="center"/>
          </w:tcPr>
          <w:p>
            <w:pPr>
              <w:spacing w:line="300" w:lineRule="exact"/>
              <w:jc w:val="center"/>
              <w:rPr>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0" w:type="auto"/>
            <w:vMerge w:val="continue"/>
            <w:noWrap w:val="0"/>
            <w:vAlign w:val="center"/>
          </w:tcPr>
          <w:p>
            <w:pPr>
              <w:spacing w:line="300" w:lineRule="exact"/>
              <w:jc w:val="center"/>
              <w:rPr>
                <w:color w:val="000000"/>
                <w:sz w:val="24"/>
              </w:rPr>
            </w:pPr>
          </w:p>
        </w:tc>
        <w:tc>
          <w:tcPr>
            <w:tcW w:w="0" w:type="auto"/>
            <w:vMerge w:val="continue"/>
            <w:noWrap w:val="0"/>
            <w:vAlign w:val="center"/>
          </w:tcPr>
          <w:p>
            <w:pPr>
              <w:spacing w:line="300" w:lineRule="exact"/>
              <w:rPr>
                <w:color w:val="000000"/>
                <w:sz w:val="24"/>
              </w:rPr>
            </w:pPr>
          </w:p>
        </w:tc>
        <w:tc>
          <w:tcPr>
            <w:tcW w:w="0" w:type="auto"/>
            <w:vMerge w:val="continue"/>
            <w:noWrap w:val="0"/>
            <w:vAlign w:val="center"/>
          </w:tcPr>
          <w:p>
            <w:pPr>
              <w:pStyle w:val="7"/>
              <w:spacing w:line="280" w:lineRule="exact"/>
              <w:ind w:firstLine="0" w:firstLineChars="0"/>
              <w:rPr>
                <w:color w:val="000000"/>
                <w:sz w:val="24"/>
              </w:rPr>
            </w:pPr>
          </w:p>
        </w:tc>
        <w:tc>
          <w:tcPr>
            <w:tcW w:w="4575" w:type="dxa"/>
            <w:noWrap w:val="0"/>
            <w:vAlign w:val="center"/>
          </w:tcPr>
          <w:p>
            <w:pPr>
              <w:spacing w:line="320" w:lineRule="exact"/>
              <w:rPr>
                <w:color w:val="000000"/>
                <w:sz w:val="24"/>
              </w:rPr>
            </w:pPr>
            <w:r>
              <w:rPr>
                <w:color w:val="000000"/>
                <w:sz w:val="24"/>
              </w:rPr>
              <w:t>全面推广货车使用电子收费系统（ETC）非现金支付方式，至2020年12月31日止，对使用我市 ETC 卡的合法装载货运车辆试行通行费 8.5 折优惠。</w:t>
            </w:r>
          </w:p>
        </w:tc>
        <w:tc>
          <w:tcPr>
            <w:tcW w:w="1824" w:type="dxa"/>
            <w:tcBorders>
              <w:left w:val="single" w:color="auto" w:sz="4" w:space="0"/>
              <w:right w:val="single" w:color="auto" w:sz="4" w:space="0"/>
            </w:tcBorders>
            <w:noWrap w:val="0"/>
            <w:vAlign w:val="center"/>
          </w:tcPr>
          <w:p>
            <w:pPr>
              <w:spacing w:line="300" w:lineRule="exact"/>
              <w:jc w:val="center"/>
              <w:rPr>
                <w:color w:val="000000"/>
                <w:sz w:val="24"/>
              </w:rPr>
            </w:pPr>
            <w:r>
              <w:rPr>
                <w:color w:val="000000"/>
                <w:sz w:val="24"/>
              </w:rPr>
              <w:t>市交通运输局</w:t>
            </w:r>
          </w:p>
        </w:tc>
        <w:tc>
          <w:tcPr>
            <w:tcW w:w="1810" w:type="dxa"/>
            <w:tcBorders>
              <w:left w:val="single" w:color="auto" w:sz="4" w:space="0"/>
            </w:tcBorders>
            <w:noWrap w:val="0"/>
            <w:vAlign w:val="center"/>
          </w:tcPr>
          <w:p>
            <w:pPr>
              <w:spacing w:line="300" w:lineRule="exact"/>
              <w:jc w:val="center"/>
              <w:rPr>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0" w:type="auto"/>
            <w:vMerge w:val="continue"/>
            <w:noWrap w:val="0"/>
            <w:vAlign w:val="center"/>
          </w:tcPr>
          <w:p>
            <w:pPr>
              <w:spacing w:line="300" w:lineRule="exact"/>
              <w:jc w:val="center"/>
              <w:rPr>
                <w:color w:val="000000"/>
                <w:sz w:val="24"/>
              </w:rPr>
            </w:pPr>
          </w:p>
        </w:tc>
        <w:tc>
          <w:tcPr>
            <w:tcW w:w="0" w:type="auto"/>
            <w:vMerge w:val="continue"/>
            <w:noWrap w:val="0"/>
            <w:vAlign w:val="center"/>
          </w:tcPr>
          <w:p>
            <w:pPr>
              <w:spacing w:line="300" w:lineRule="exact"/>
              <w:rPr>
                <w:color w:val="000000"/>
                <w:sz w:val="24"/>
              </w:rPr>
            </w:pPr>
          </w:p>
        </w:tc>
        <w:tc>
          <w:tcPr>
            <w:tcW w:w="0" w:type="auto"/>
            <w:vMerge w:val="continue"/>
            <w:noWrap w:val="0"/>
            <w:vAlign w:val="center"/>
          </w:tcPr>
          <w:p>
            <w:pPr>
              <w:pStyle w:val="7"/>
              <w:spacing w:line="280" w:lineRule="exact"/>
              <w:ind w:firstLine="0" w:firstLineChars="0"/>
              <w:rPr>
                <w:color w:val="000000"/>
                <w:sz w:val="24"/>
              </w:rPr>
            </w:pPr>
          </w:p>
        </w:tc>
        <w:tc>
          <w:tcPr>
            <w:tcW w:w="4575" w:type="dxa"/>
            <w:noWrap w:val="0"/>
            <w:vAlign w:val="center"/>
          </w:tcPr>
          <w:p>
            <w:pPr>
              <w:spacing w:line="320" w:lineRule="exact"/>
              <w:rPr>
                <w:color w:val="000000"/>
                <w:sz w:val="24"/>
              </w:rPr>
            </w:pPr>
            <w:r>
              <w:rPr>
                <w:color w:val="000000"/>
                <w:sz w:val="24"/>
              </w:rPr>
              <w:t>加强港口、检验检疫等进出口环节收费监管，查处检验检疫环节强制服务收费，各类中介明码标价不规范等行为。</w:t>
            </w:r>
          </w:p>
        </w:tc>
        <w:tc>
          <w:tcPr>
            <w:tcW w:w="1824" w:type="dxa"/>
            <w:tcBorders>
              <w:left w:val="single" w:color="auto" w:sz="4" w:space="0"/>
              <w:right w:val="single" w:color="auto" w:sz="4" w:space="0"/>
            </w:tcBorders>
            <w:noWrap w:val="0"/>
            <w:vAlign w:val="center"/>
          </w:tcPr>
          <w:p>
            <w:pPr>
              <w:spacing w:line="300" w:lineRule="exact"/>
              <w:jc w:val="center"/>
              <w:rPr>
                <w:color w:val="000000"/>
                <w:sz w:val="24"/>
              </w:rPr>
            </w:pPr>
            <w:r>
              <w:rPr>
                <w:color w:val="000000"/>
                <w:sz w:val="24"/>
              </w:rPr>
              <w:t>绍兴海关</w:t>
            </w:r>
          </w:p>
        </w:tc>
        <w:tc>
          <w:tcPr>
            <w:tcW w:w="1810" w:type="dxa"/>
            <w:tcBorders>
              <w:left w:val="single" w:color="auto" w:sz="4" w:space="0"/>
            </w:tcBorders>
            <w:noWrap w:val="0"/>
            <w:vAlign w:val="center"/>
          </w:tcPr>
          <w:p>
            <w:pPr>
              <w:spacing w:line="300" w:lineRule="exact"/>
              <w:jc w:val="center"/>
              <w:rPr>
                <w:color w:val="000000"/>
                <w:sz w:val="24"/>
              </w:rPr>
            </w:pPr>
            <w:r>
              <w:rPr>
                <w:color w:val="000000"/>
                <w:sz w:val="24"/>
              </w:rPr>
              <w:t>市市场监管局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0" w:type="auto"/>
            <w:vMerge w:val="continue"/>
            <w:noWrap w:val="0"/>
            <w:vAlign w:val="center"/>
          </w:tcPr>
          <w:p>
            <w:pPr>
              <w:spacing w:line="300" w:lineRule="exact"/>
              <w:jc w:val="center"/>
              <w:rPr>
                <w:color w:val="000000"/>
                <w:sz w:val="24"/>
              </w:rPr>
            </w:pPr>
          </w:p>
        </w:tc>
        <w:tc>
          <w:tcPr>
            <w:tcW w:w="0" w:type="auto"/>
            <w:vMerge w:val="continue"/>
            <w:noWrap w:val="0"/>
            <w:vAlign w:val="center"/>
          </w:tcPr>
          <w:p>
            <w:pPr>
              <w:spacing w:line="300" w:lineRule="exact"/>
              <w:rPr>
                <w:color w:val="000000"/>
                <w:sz w:val="24"/>
              </w:rPr>
            </w:pPr>
          </w:p>
        </w:tc>
        <w:tc>
          <w:tcPr>
            <w:tcW w:w="0" w:type="auto"/>
            <w:vMerge w:val="continue"/>
            <w:noWrap w:val="0"/>
            <w:vAlign w:val="center"/>
          </w:tcPr>
          <w:p>
            <w:pPr>
              <w:pStyle w:val="7"/>
              <w:spacing w:line="280" w:lineRule="exact"/>
              <w:ind w:firstLine="0" w:firstLineChars="0"/>
              <w:rPr>
                <w:color w:val="000000"/>
                <w:sz w:val="24"/>
              </w:rPr>
            </w:pPr>
          </w:p>
        </w:tc>
        <w:tc>
          <w:tcPr>
            <w:tcW w:w="4575" w:type="dxa"/>
            <w:noWrap w:val="0"/>
            <w:vAlign w:val="center"/>
          </w:tcPr>
          <w:p>
            <w:pPr>
              <w:spacing w:line="320" w:lineRule="exact"/>
              <w:rPr>
                <w:color w:val="000000"/>
                <w:sz w:val="24"/>
              </w:rPr>
            </w:pPr>
            <w:r>
              <w:rPr>
                <w:color w:val="000000"/>
                <w:sz w:val="24"/>
              </w:rPr>
              <w:t>落实大宗商品仓储用地减税降费政策，自2020年1月1日起至2022年12月31日止，对物流企业自有（包括自用和出租）或承租的大宗商品仓储设施用地，减按所属地登记使用税额标准的50%计征城镇土地使用税。</w:t>
            </w:r>
          </w:p>
        </w:tc>
        <w:tc>
          <w:tcPr>
            <w:tcW w:w="1824" w:type="dxa"/>
            <w:tcBorders>
              <w:left w:val="single" w:color="auto" w:sz="4" w:space="0"/>
              <w:right w:val="single" w:color="auto" w:sz="4" w:space="0"/>
            </w:tcBorders>
            <w:noWrap w:val="0"/>
            <w:vAlign w:val="center"/>
          </w:tcPr>
          <w:p>
            <w:pPr>
              <w:spacing w:line="300" w:lineRule="exact"/>
              <w:jc w:val="center"/>
              <w:rPr>
                <w:color w:val="000000"/>
                <w:sz w:val="24"/>
              </w:rPr>
            </w:pPr>
            <w:r>
              <w:rPr>
                <w:color w:val="000000"/>
                <w:sz w:val="24"/>
              </w:rPr>
              <w:t>市税务局</w:t>
            </w:r>
          </w:p>
        </w:tc>
        <w:tc>
          <w:tcPr>
            <w:tcW w:w="1810" w:type="dxa"/>
            <w:tcBorders>
              <w:left w:val="single" w:color="auto" w:sz="4" w:space="0"/>
            </w:tcBorders>
            <w:noWrap w:val="0"/>
            <w:vAlign w:val="center"/>
          </w:tcPr>
          <w:p>
            <w:pPr>
              <w:spacing w:line="300" w:lineRule="exact"/>
              <w:jc w:val="center"/>
              <w:rPr>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0" w:type="auto"/>
            <w:vMerge w:val="continue"/>
            <w:noWrap w:val="0"/>
            <w:vAlign w:val="center"/>
          </w:tcPr>
          <w:p>
            <w:pPr>
              <w:spacing w:line="300" w:lineRule="exact"/>
              <w:jc w:val="center"/>
              <w:rPr>
                <w:color w:val="000000"/>
                <w:sz w:val="24"/>
              </w:rPr>
            </w:pPr>
          </w:p>
        </w:tc>
        <w:tc>
          <w:tcPr>
            <w:tcW w:w="0" w:type="auto"/>
            <w:vMerge w:val="continue"/>
            <w:noWrap w:val="0"/>
            <w:vAlign w:val="center"/>
          </w:tcPr>
          <w:p>
            <w:pPr>
              <w:spacing w:line="300" w:lineRule="exact"/>
              <w:rPr>
                <w:color w:val="000000"/>
                <w:sz w:val="24"/>
              </w:rPr>
            </w:pPr>
          </w:p>
        </w:tc>
        <w:tc>
          <w:tcPr>
            <w:tcW w:w="2361" w:type="dxa"/>
            <w:noWrap w:val="0"/>
            <w:vAlign w:val="center"/>
          </w:tcPr>
          <w:p>
            <w:pPr>
              <w:pStyle w:val="7"/>
              <w:spacing w:line="280" w:lineRule="exact"/>
              <w:ind w:firstLine="0" w:firstLineChars="0"/>
              <w:rPr>
                <w:color w:val="000000"/>
                <w:sz w:val="24"/>
              </w:rPr>
            </w:pPr>
            <w:r>
              <w:rPr>
                <w:color w:val="000000"/>
                <w:sz w:val="24"/>
              </w:rPr>
              <w:t>（六）推动货物通关便利化。</w:t>
            </w:r>
          </w:p>
        </w:tc>
        <w:tc>
          <w:tcPr>
            <w:tcW w:w="4575" w:type="dxa"/>
            <w:noWrap w:val="0"/>
            <w:vAlign w:val="center"/>
          </w:tcPr>
          <w:p>
            <w:pPr>
              <w:rPr>
                <w:color w:val="000000"/>
                <w:sz w:val="24"/>
              </w:rPr>
            </w:pPr>
            <w:r>
              <w:rPr>
                <w:color w:val="000000"/>
                <w:sz w:val="24"/>
              </w:rPr>
              <w:t>深化“放管服”改革，全面推行项目备案和减免税审批无纸化，基本实现办理征免税证明货物当日申报、当日审批、次日提货。进一步巩固通关时间压缩成果基础上，持续推进进口概要申报、完整申报的“两步申报”通关模式。继续深化国际贸易“单一窗口”建设，加快推进口岸各环节无纸化作业。推广“自报自缴”、“电子支付”等便利措施，提升货物进出港效率。</w:t>
            </w:r>
          </w:p>
        </w:tc>
        <w:tc>
          <w:tcPr>
            <w:tcW w:w="1824" w:type="dxa"/>
            <w:tcBorders>
              <w:left w:val="single" w:color="auto" w:sz="4" w:space="0"/>
              <w:right w:val="single" w:color="auto" w:sz="4" w:space="0"/>
            </w:tcBorders>
            <w:noWrap w:val="0"/>
            <w:vAlign w:val="center"/>
          </w:tcPr>
          <w:p>
            <w:pPr>
              <w:spacing w:line="300" w:lineRule="exact"/>
              <w:jc w:val="center"/>
              <w:rPr>
                <w:color w:val="000000"/>
                <w:sz w:val="24"/>
              </w:rPr>
            </w:pPr>
            <w:r>
              <w:rPr>
                <w:color w:val="000000"/>
                <w:sz w:val="24"/>
              </w:rPr>
              <w:t>绍兴海关</w:t>
            </w:r>
          </w:p>
        </w:tc>
        <w:tc>
          <w:tcPr>
            <w:tcW w:w="1810" w:type="dxa"/>
            <w:tcBorders>
              <w:left w:val="single" w:color="auto" w:sz="4" w:space="0"/>
            </w:tcBorders>
            <w:noWrap w:val="0"/>
            <w:vAlign w:val="center"/>
          </w:tcPr>
          <w:p>
            <w:pPr>
              <w:spacing w:line="300" w:lineRule="exact"/>
              <w:jc w:val="center"/>
              <w:rPr>
                <w:color w:val="000000"/>
                <w:sz w:val="24"/>
              </w:rPr>
            </w:pPr>
            <w:r>
              <w:rPr>
                <w:color w:val="000000"/>
                <w:sz w:val="24"/>
              </w:rPr>
              <w:t>市商务局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832" w:type="dxa"/>
            <w:vMerge w:val="restart"/>
            <w:noWrap w:val="0"/>
            <w:vAlign w:val="center"/>
          </w:tcPr>
          <w:p>
            <w:pPr>
              <w:spacing w:line="300" w:lineRule="exact"/>
              <w:jc w:val="center"/>
              <w:rPr>
                <w:color w:val="000000"/>
                <w:sz w:val="24"/>
              </w:rPr>
            </w:pPr>
            <w:r>
              <w:rPr>
                <w:color w:val="000000"/>
                <w:sz w:val="24"/>
              </w:rPr>
              <w:t>2</w:t>
            </w:r>
          </w:p>
        </w:tc>
        <w:tc>
          <w:tcPr>
            <w:tcW w:w="1558" w:type="dxa"/>
            <w:vMerge w:val="restart"/>
            <w:noWrap w:val="0"/>
            <w:vAlign w:val="center"/>
          </w:tcPr>
          <w:p>
            <w:pPr>
              <w:tabs>
                <w:tab w:val="left" w:pos="975"/>
              </w:tabs>
              <w:spacing w:line="300" w:lineRule="exact"/>
              <w:rPr>
                <w:color w:val="000000"/>
                <w:sz w:val="24"/>
              </w:rPr>
            </w:pPr>
            <w:r>
              <w:rPr>
                <w:color w:val="000000"/>
                <w:sz w:val="24"/>
              </w:rPr>
              <w:t>创新提升物流组织方式</w:t>
            </w:r>
          </w:p>
        </w:tc>
        <w:tc>
          <w:tcPr>
            <w:tcW w:w="2361" w:type="dxa"/>
            <w:noWrap w:val="0"/>
            <w:vAlign w:val="center"/>
          </w:tcPr>
          <w:p>
            <w:pPr>
              <w:spacing w:line="300" w:lineRule="exact"/>
              <w:rPr>
                <w:color w:val="000000"/>
                <w:sz w:val="24"/>
              </w:rPr>
            </w:pPr>
            <w:r>
              <w:rPr>
                <w:color w:val="000000"/>
                <w:sz w:val="24"/>
              </w:rPr>
              <w:t>（七）推动运输结构优化调整。</w:t>
            </w:r>
          </w:p>
        </w:tc>
        <w:tc>
          <w:tcPr>
            <w:tcW w:w="4575" w:type="dxa"/>
            <w:noWrap w:val="0"/>
            <w:vAlign w:val="center"/>
          </w:tcPr>
          <w:p>
            <w:pPr>
              <w:rPr>
                <w:color w:val="000000"/>
                <w:sz w:val="24"/>
              </w:rPr>
            </w:pPr>
            <w:r>
              <w:rPr>
                <w:color w:val="000000"/>
                <w:sz w:val="24"/>
              </w:rPr>
              <w:t>以多式联运示范工程为重点，推广应用多式联运运单，加快发展“一单制”联运服务。鼓励开展集装箱运输业务，探索一批公路集装箱运输和水路集装箱运输企业的合作试点，完善水运集装箱运输的集疏散体系，到2020年底完成水运货运量1715万吨，内河集装箱吞吐量8万标箱，全市实现大宗货物“公转水”比2019年增加150万吨。</w:t>
            </w:r>
          </w:p>
        </w:tc>
        <w:tc>
          <w:tcPr>
            <w:tcW w:w="1824" w:type="dxa"/>
            <w:tcBorders>
              <w:left w:val="single" w:color="auto" w:sz="4" w:space="0"/>
              <w:right w:val="single" w:color="auto" w:sz="4" w:space="0"/>
            </w:tcBorders>
            <w:noWrap w:val="0"/>
            <w:vAlign w:val="center"/>
          </w:tcPr>
          <w:p>
            <w:pPr>
              <w:spacing w:line="300" w:lineRule="exact"/>
              <w:jc w:val="center"/>
              <w:rPr>
                <w:color w:val="000000"/>
                <w:sz w:val="24"/>
              </w:rPr>
            </w:pPr>
            <w:r>
              <w:rPr>
                <w:color w:val="000000"/>
                <w:sz w:val="24"/>
              </w:rPr>
              <w:t>市交通运输局</w:t>
            </w:r>
          </w:p>
        </w:tc>
        <w:tc>
          <w:tcPr>
            <w:tcW w:w="1810" w:type="dxa"/>
            <w:tcBorders>
              <w:left w:val="single" w:color="auto" w:sz="4" w:space="0"/>
            </w:tcBorders>
            <w:noWrap w:val="0"/>
            <w:vAlign w:val="center"/>
          </w:tcPr>
          <w:p>
            <w:pPr>
              <w:spacing w:line="300" w:lineRule="exact"/>
              <w:jc w:val="center"/>
              <w:rPr>
                <w:color w:val="000000"/>
                <w:sz w:val="24"/>
              </w:rPr>
            </w:pPr>
            <w:r>
              <w:rPr>
                <w:color w:val="000000"/>
                <w:sz w:val="24"/>
              </w:rPr>
              <w:t>市发改委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0" w:type="auto"/>
            <w:vMerge w:val="continue"/>
            <w:noWrap w:val="0"/>
            <w:vAlign w:val="center"/>
          </w:tcPr>
          <w:p>
            <w:pPr>
              <w:spacing w:line="300" w:lineRule="exact"/>
              <w:jc w:val="center"/>
              <w:rPr>
                <w:color w:val="000000"/>
                <w:sz w:val="24"/>
              </w:rPr>
            </w:pPr>
          </w:p>
        </w:tc>
        <w:tc>
          <w:tcPr>
            <w:tcW w:w="0" w:type="auto"/>
            <w:vMerge w:val="continue"/>
            <w:noWrap w:val="0"/>
            <w:vAlign w:val="center"/>
          </w:tcPr>
          <w:p>
            <w:pPr>
              <w:spacing w:line="300" w:lineRule="exact"/>
              <w:rPr>
                <w:color w:val="000000"/>
                <w:sz w:val="24"/>
              </w:rPr>
            </w:pPr>
          </w:p>
        </w:tc>
        <w:tc>
          <w:tcPr>
            <w:tcW w:w="2361" w:type="dxa"/>
            <w:noWrap w:val="0"/>
            <w:vAlign w:val="center"/>
          </w:tcPr>
          <w:p>
            <w:pPr>
              <w:spacing w:line="300" w:lineRule="exact"/>
              <w:rPr>
                <w:color w:val="000000"/>
                <w:sz w:val="24"/>
              </w:rPr>
            </w:pPr>
            <w:r>
              <w:rPr>
                <w:color w:val="000000"/>
                <w:sz w:val="24"/>
              </w:rPr>
              <w:t>（八）打通物流信息共享渠道。</w:t>
            </w:r>
          </w:p>
        </w:tc>
        <w:tc>
          <w:tcPr>
            <w:tcW w:w="4575" w:type="dxa"/>
            <w:noWrap w:val="0"/>
            <w:vAlign w:val="center"/>
          </w:tcPr>
          <w:p>
            <w:pPr>
              <w:spacing w:line="300" w:lineRule="exact"/>
              <w:rPr>
                <w:color w:val="000000"/>
                <w:sz w:val="24"/>
              </w:rPr>
            </w:pPr>
            <w:r>
              <w:rPr>
                <w:color w:val="000000"/>
                <w:sz w:val="24"/>
              </w:rPr>
              <w:t>在确保信息安全前提下，推进交通运输、公安交管、铁路、港口、航空等单位相关物流数据开放共享，实现物流信息跨部门、跨行业、跨领域、跨主体的顺创流动。按照安全共享和对等互利的原则，推动铁路企业与港口、物流等企业信息系统对接，完善信息接口等标准，加强列车到发时刻等信息开放。</w:t>
            </w:r>
          </w:p>
        </w:tc>
        <w:tc>
          <w:tcPr>
            <w:tcW w:w="1824" w:type="dxa"/>
            <w:tcBorders>
              <w:left w:val="single" w:color="auto" w:sz="4" w:space="0"/>
              <w:right w:val="single" w:color="auto" w:sz="4" w:space="0"/>
            </w:tcBorders>
            <w:noWrap w:val="0"/>
            <w:vAlign w:val="center"/>
          </w:tcPr>
          <w:p>
            <w:pPr>
              <w:spacing w:line="300" w:lineRule="exact"/>
              <w:jc w:val="center"/>
              <w:rPr>
                <w:color w:val="000000"/>
                <w:sz w:val="24"/>
              </w:rPr>
            </w:pPr>
            <w:r>
              <w:rPr>
                <w:color w:val="000000"/>
                <w:sz w:val="24"/>
              </w:rPr>
              <w:t>市发改委</w:t>
            </w:r>
          </w:p>
        </w:tc>
        <w:tc>
          <w:tcPr>
            <w:tcW w:w="1810" w:type="dxa"/>
            <w:tcBorders>
              <w:left w:val="single" w:color="auto" w:sz="4" w:space="0"/>
            </w:tcBorders>
            <w:noWrap w:val="0"/>
            <w:vAlign w:val="center"/>
          </w:tcPr>
          <w:p>
            <w:pPr>
              <w:spacing w:line="300" w:lineRule="exact"/>
              <w:jc w:val="center"/>
              <w:rPr>
                <w:color w:val="000000"/>
                <w:sz w:val="24"/>
              </w:rPr>
            </w:pPr>
            <w:r>
              <w:rPr>
                <w:color w:val="000000"/>
                <w:sz w:val="24"/>
              </w:rPr>
              <w:t>市交通运输局市公安局</w:t>
            </w:r>
          </w:p>
          <w:p>
            <w:pPr>
              <w:spacing w:line="300" w:lineRule="exact"/>
              <w:jc w:val="center"/>
              <w:rPr>
                <w:color w:val="000000"/>
                <w:sz w:val="24"/>
              </w:rPr>
            </w:pPr>
            <w:r>
              <w:rPr>
                <w:color w:val="000000"/>
                <w:sz w:val="24"/>
              </w:rPr>
              <w:t>市大数据局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0" w:type="auto"/>
            <w:vMerge w:val="continue"/>
            <w:noWrap w:val="0"/>
            <w:vAlign w:val="center"/>
          </w:tcPr>
          <w:p>
            <w:pPr>
              <w:spacing w:line="300" w:lineRule="exact"/>
              <w:jc w:val="center"/>
              <w:rPr>
                <w:color w:val="000000"/>
                <w:sz w:val="24"/>
              </w:rPr>
            </w:pPr>
          </w:p>
        </w:tc>
        <w:tc>
          <w:tcPr>
            <w:tcW w:w="0" w:type="auto"/>
            <w:vMerge w:val="continue"/>
            <w:noWrap w:val="0"/>
            <w:vAlign w:val="center"/>
          </w:tcPr>
          <w:p>
            <w:pPr>
              <w:spacing w:line="300" w:lineRule="exact"/>
              <w:rPr>
                <w:color w:val="000000"/>
                <w:sz w:val="24"/>
              </w:rPr>
            </w:pPr>
          </w:p>
        </w:tc>
        <w:tc>
          <w:tcPr>
            <w:tcW w:w="2361" w:type="dxa"/>
            <w:noWrap w:val="0"/>
            <w:vAlign w:val="center"/>
          </w:tcPr>
          <w:p>
            <w:pPr>
              <w:spacing w:line="300" w:lineRule="exact"/>
              <w:rPr>
                <w:color w:val="000000"/>
                <w:sz w:val="24"/>
              </w:rPr>
            </w:pPr>
            <w:r>
              <w:rPr>
                <w:color w:val="000000"/>
                <w:sz w:val="24"/>
              </w:rPr>
              <w:t>（九）推进建设智慧物流供应链。</w:t>
            </w:r>
          </w:p>
        </w:tc>
        <w:tc>
          <w:tcPr>
            <w:tcW w:w="4575" w:type="dxa"/>
            <w:noWrap w:val="0"/>
            <w:vAlign w:val="center"/>
          </w:tcPr>
          <w:p>
            <w:pPr>
              <w:spacing w:line="300" w:lineRule="exact"/>
              <w:rPr>
                <w:color w:val="000000"/>
                <w:sz w:val="24"/>
              </w:rPr>
            </w:pPr>
            <w:r>
              <w:rPr>
                <w:color w:val="000000"/>
                <w:sz w:val="24"/>
              </w:rPr>
              <w:t>深入推进供应链创新与应用试点，推广“供应链协同推进”模式，鼓励生产企业、连锁商贸企业等供应链上下游企业“结对子”、“建联盟”，开展统一租赁、托盘互换，协同推进托盘标准化；拓展标准托盘、周转箱（筐）的信息承载功能，从集装单元提升为数据单元，探索托盘条码与商品条码、箱码、物流单元代码关联衔接，推动物流链上下游企业数据传输交换顺畅。</w:t>
            </w:r>
          </w:p>
        </w:tc>
        <w:tc>
          <w:tcPr>
            <w:tcW w:w="1824" w:type="dxa"/>
            <w:tcBorders>
              <w:left w:val="single" w:color="auto" w:sz="4" w:space="0"/>
              <w:right w:val="single" w:color="auto" w:sz="4" w:space="0"/>
            </w:tcBorders>
            <w:noWrap w:val="0"/>
            <w:vAlign w:val="center"/>
          </w:tcPr>
          <w:p>
            <w:pPr>
              <w:spacing w:line="300" w:lineRule="exact"/>
              <w:jc w:val="center"/>
              <w:rPr>
                <w:color w:val="000000"/>
                <w:sz w:val="24"/>
              </w:rPr>
            </w:pPr>
            <w:r>
              <w:rPr>
                <w:color w:val="000000"/>
                <w:sz w:val="24"/>
              </w:rPr>
              <w:t>市商务局</w:t>
            </w:r>
          </w:p>
        </w:tc>
        <w:tc>
          <w:tcPr>
            <w:tcW w:w="1810" w:type="dxa"/>
            <w:tcBorders>
              <w:left w:val="single" w:color="auto" w:sz="4" w:space="0"/>
            </w:tcBorders>
            <w:noWrap w:val="0"/>
            <w:vAlign w:val="center"/>
          </w:tcPr>
          <w:p>
            <w:pPr>
              <w:spacing w:line="300" w:lineRule="exact"/>
              <w:jc w:val="center"/>
              <w:rPr>
                <w:color w:val="000000"/>
                <w:sz w:val="24"/>
              </w:rPr>
            </w:pPr>
            <w:r>
              <w:rPr>
                <w:color w:val="000000"/>
                <w:sz w:val="24"/>
              </w:rPr>
              <w:t>市发改委</w:t>
            </w:r>
          </w:p>
          <w:p>
            <w:pPr>
              <w:spacing w:line="300" w:lineRule="exact"/>
              <w:jc w:val="center"/>
              <w:rPr>
                <w:color w:val="000000"/>
                <w:sz w:val="24"/>
              </w:rPr>
            </w:pPr>
            <w:r>
              <w:rPr>
                <w:color w:val="000000"/>
                <w:sz w:val="24"/>
              </w:rPr>
              <w:t>市邮政管理局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0" w:type="auto"/>
            <w:vMerge w:val="continue"/>
            <w:noWrap w:val="0"/>
            <w:vAlign w:val="center"/>
          </w:tcPr>
          <w:p>
            <w:pPr>
              <w:spacing w:line="300" w:lineRule="exact"/>
              <w:jc w:val="center"/>
              <w:rPr>
                <w:color w:val="000000"/>
                <w:sz w:val="24"/>
              </w:rPr>
            </w:pPr>
          </w:p>
        </w:tc>
        <w:tc>
          <w:tcPr>
            <w:tcW w:w="0" w:type="auto"/>
            <w:vMerge w:val="continue"/>
            <w:noWrap w:val="0"/>
            <w:vAlign w:val="center"/>
          </w:tcPr>
          <w:p>
            <w:pPr>
              <w:spacing w:line="300" w:lineRule="exact"/>
              <w:rPr>
                <w:color w:val="000000"/>
                <w:sz w:val="24"/>
              </w:rPr>
            </w:pPr>
          </w:p>
        </w:tc>
        <w:tc>
          <w:tcPr>
            <w:tcW w:w="2361" w:type="dxa"/>
            <w:vMerge w:val="restart"/>
            <w:noWrap w:val="0"/>
            <w:vAlign w:val="center"/>
          </w:tcPr>
          <w:p>
            <w:pPr>
              <w:spacing w:line="300" w:lineRule="exact"/>
              <w:rPr>
                <w:color w:val="000000"/>
                <w:sz w:val="24"/>
              </w:rPr>
            </w:pPr>
            <w:r>
              <w:rPr>
                <w:color w:val="000000"/>
                <w:sz w:val="24"/>
              </w:rPr>
              <w:t>（十）加快发展智慧物流。</w:t>
            </w:r>
          </w:p>
        </w:tc>
        <w:tc>
          <w:tcPr>
            <w:tcW w:w="4575" w:type="dxa"/>
            <w:noWrap w:val="0"/>
            <w:vAlign w:val="center"/>
          </w:tcPr>
          <w:p>
            <w:pPr>
              <w:spacing w:line="300" w:lineRule="exact"/>
              <w:rPr>
                <w:color w:val="000000"/>
                <w:sz w:val="24"/>
              </w:rPr>
            </w:pPr>
            <w:r>
              <w:rPr>
                <w:color w:val="000000"/>
                <w:sz w:val="24"/>
              </w:rPr>
              <w:t>推动物流园区仓储设施从传统结构向网格结构升级，建立深度感知智能仓储系统，实现存、取、管全程智能化。推动仓储配送装备智能化。支持交通物流企业应用智能化物流装备，提升仓储、运输、分拣、包装等作业效率和仓储管理水平；</w:t>
            </w:r>
          </w:p>
        </w:tc>
        <w:tc>
          <w:tcPr>
            <w:tcW w:w="1824" w:type="dxa"/>
            <w:tcBorders>
              <w:left w:val="single" w:color="auto" w:sz="4" w:space="0"/>
              <w:right w:val="single" w:color="auto" w:sz="4" w:space="0"/>
            </w:tcBorders>
            <w:noWrap w:val="0"/>
            <w:vAlign w:val="center"/>
          </w:tcPr>
          <w:p>
            <w:pPr>
              <w:spacing w:line="300" w:lineRule="exact"/>
              <w:jc w:val="center"/>
              <w:rPr>
                <w:color w:val="000000"/>
                <w:sz w:val="24"/>
              </w:rPr>
            </w:pPr>
            <w:r>
              <w:rPr>
                <w:color w:val="000000"/>
                <w:sz w:val="24"/>
              </w:rPr>
              <w:t>市发改委</w:t>
            </w:r>
          </w:p>
        </w:tc>
        <w:tc>
          <w:tcPr>
            <w:tcW w:w="1810" w:type="dxa"/>
            <w:tcBorders>
              <w:left w:val="single" w:color="auto" w:sz="4" w:space="0"/>
            </w:tcBorders>
            <w:noWrap w:val="0"/>
            <w:vAlign w:val="center"/>
          </w:tcPr>
          <w:p>
            <w:pPr>
              <w:spacing w:line="300" w:lineRule="exact"/>
              <w:jc w:val="center"/>
              <w:rPr>
                <w:color w:val="000000"/>
                <w:sz w:val="24"/>
              </w:rPr>
            </w:pPr>
            <w:r>
              <w:rPr>
                <w:color w:val="000000"/>
                <w:sz w:val="24"/>
              </w:rPr>
              <w:t>市交通运输局</w:t>
            </w:r>
          </w:p>
          <w:p>
            <w:pPr>
              <w:spacing w:line="300" w:lineRule="exact"/>
              <w:jc w:val="center"/>
              <w:rPr>
                <w:color w:val="000000"/>
                <w:sz w:val="24"/>
              </w:rPr>
            </w:pPr>
            <w:r>
              <w:rPr>
                <w:color w:val="000000"/>
                <w:sz w:val="24"/>
              </w:rPr>
              <w:t>市邮政管理局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0" w:type="auto"/>
            <w:vMerge w:val="continue"/>
            <w:noWrap w:val="0"/>
            <w:vAlign w:val="center"/>
          </w:tcPr>
          <w:p>
            <w:pPr>
              <w:spacing w:line="300" w:lineRule="exact"/>
              <w:jc w:val="center"/>
              <w:rPr>
                <w:color w:val="000000"/>
                <w:sz w:val="24"/>
              </w:rPr>
            </w:pPr>
          </w:p>
        </w:tc>
        <w:tc>
          <w:tcPr>
            <w:tcW w:w="0" w:type="auto"/>
            <w:vMerge w:val="continue"/>
            <w:noWrap w:val="0"/>
            <w:vAlign w:val="center"/>
          </w:tcPr>
          <w:p>
            <w:pPr>
              <w:spacing w:line="300" w:lineRule="exact"/>
              <w:rPr>
                <w:color w:val="000000"/>
                <w:sz w:val="24"/>
              </w:rPr>
            </w:pPr>
          </w:p>
        </w:tc>
        <w:tc>
          <w:tcPr>
            <w:tcW w:w="0" w:type="auto"/>
            <w:vMerge w:val="continue"/>
            <w:noWrap w:val="0"/>
            <w:vAlign w:val="center"/>
          </w:tcPr>
          <w:p>
            <w:pPr>
              <w:spacing w:line="300" w:lineRule="exact"/>
              <w:rPr>
                <w:color w:val="000000"/>
                <w:sz w:val="24"/>
              </w:rPr>
            </w:pPr>
          </w:p>
        </w:tc>
        <w:tc>
          <w:tcPr>
            <w:tcW w:w="4575" w:type="dxa"/>
            <w:noWrap w:val="0"/>
            <w:vAlign w:val="center"/>
          </w:tcPr>
          <w:p>
            <w:pPr>
              <w:spacing w:line="300" w:lineRule="exact"/>
              <w:rPr>
                <w:color w:val="000000"/>
                <w:sz w:val="24"/>
              </w:rPr>
            </w:pPr>
            <w:r>
              <w:rPr>
                <w:color w:val="000000"/>
                <w:sz w:val="24"/>
              </w:rPr>
              <w:t>鼓励有条件的物流枢纽建设全自动化码头、智能化仓储等现代物流设施；</w:t>
            </w:r>
          </w:p>
        </w:tc>
        <w:tc>
          <w:tcPr>
            <w:tcW w:w="1824" w:type="dxa"/>
            <w:tcBorders>
              <w:left w:val="single" w:color="auto" w:sz="4" w:space="0"/>
              <w:right w:val="single" w:color="auto" w:sz="4" w:space="0"/>
            </w:tcBorders>
            <w:noWrap w:val="0"/>
            <w:vAlign w:val="center"/>
          </w:tcPr>
          <w:p>
            <w:pPr>
              <w:spacing w:line="300" w:lineRule="exact"/>
              <w:jc w:val="center"/>
              <w:rPr>
                <w:color w:val="000000"/>
                <w:sz w:val="24"/>
              </w:rPr>
            </w:pPr>
            <w:r>
              <w:rPr>
                <w:color w:val="000000"/>
                <w:sz w:val="24"/>
              </w:rPr>
              <w:t>市交通运输局</w:t>
            </w:r>
          </w:p>
        </w:tc>
        <w:tc>
          <w:tcPr>
            <w:tcW w:w="1810" w:type="dxa"/>
            <w:tcBorders>
              <w:left w:val="single" w:color="auto" w:sz="4" w:space="0"/>
            </w:tcBorders>
            <w:noWrap w:val="0"/>
            <w:vAlign w:val="center"/>
          </w:tcPr>
          <w:p>
            <w:pPr>
              <w:spacing w:line="300" w:lineRule="exact"/>
              <w:jc w:val="center"/>
              <w:rPr>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0" w:type="auto"/>
            <w:vMerge w:val="continue"/>
            <w:noWrap w:val="0"/>
            <w:vAlign w:val="center"/>
          </w:tcPr>
          <w:p>
            <w:pPr>
              <w:spacing w:line="300" w:lineRule="exact"/>
              <w:jc w:val="center"/>
              <w:rPr>
                <w:color w:val="000000"/>
                <w:sz w:val="24"/>
              </w:rPr>
            </w:pPr>
          </w:p>
        </w:tc>
        <w:tc>
          <w:tcPr>
            <w:tcW w:w="0" w:type="auto"/>
            <w:vMerge w:val="continue"/>
            <w:noWrap w:val="0"/>
            <w:vAlign w:val="center"/>
          </w:tcPr>
          <w:p>
            <w:pPr>
              <w:spacing w:line="300" w:lineRule="exact"/>
              <w:rPr>
                <w:color w:val="000000"/>
                <w:sz w:val="24"/>
              </w:rPr>
            </w:pPr>
          </w:p>
        </w:tc>
        <w:tc>
          <w:tcPr>
            <w:tcW w:w="0" w:type="auto"/>
            <w:vMerge w:val="continue"/>
            <w:noWrap w:val="0"/>
            <w:vAlign w:val="center"/>
          </w:tcPr>
          <w:p>
            <w:pPr>
              <w:spacing w:line="300" w:lineRule="exact"/>
              <w:rPr>
                <w:color w:val="000000"/>
                <w:sz w:val="24"/>
              </w:rPr>
            </w:pPr>
          </w:p>
        </w:tc>
        <w:tc>
          <w:tcPr>
            <w:tcW w:w="4575" w:type="dxa"/>
            <w:noWrap w:val="0"/>
            <w:vAlign w:val="center"/>
          </w:tcPr>
          <w:p>
            <w:pPr>
              <w:spacing w:line="300" w:lineRule="exact"/>
              <w:rPr>
                <w:color w:val="000000"/>
                <w:sz w:val="24"/>
                <w:u w:val="single"/>
              </w:rPr>
            </w:pPr>
            <w:r>
              <w:rPr>
                <w:color w:val="000000"/>
                <w:sz w:val="24"/>
              </w:rPr>
              <w:t>鼓励搬运、装卸、终端配送等环节的无人车、无人机等设施设备在快递行业的应用。</w:t>
            </w:r>
          </w:p>
        </w:tc>
        <w:tc>
          <w:tcPr>
            <w:tcW w:w="1824" w:type="dxa"/>
            <w:tcBorders>
              <w:left w:val="single" w:color="auto" w:sz="4" w:space="0"/>
              <w:right w:val="single" w:color="auto" w:sz="4" w:space="0"/>
            </w:tcBorders>
            <w:noWrap w:val="0"/>
            <w:vAlign w:val="center"/>
          </w:tcPr>
          <w:p>
            <w:pPr>
              <w:spacing w:line="300" w:lineRule="exact"/>
              <w:jc w:val="center"/>
              <w:rPr>
                <w:color w:val="000000"/>
                <w:sz w:val="24"/>
              </w:rPr>
            </w:pPr>
            <w:r>
              <w:rPr>
                <w:color w:val="000000"/>
                <w:sz w:val="24"/>
              </w:rPr>
              <w:t>市邮政管理局</w:t>
            </w:r>
          </w:p>
        </w:tc>
        <w:tc>
          <w:tcPr>
            <w:tcW w:w="1810" w:type="dxa"/>
            <w:tcBorders>
              <w:left w:val="single" w:color="auto" w:sz="4" w:space="0"/>
            </w:tcBorders>
            <w:noWrap w:val="0"/>
            <w:vAlign w:val="center"/>
          </w:tcPr>
          <w:p>
            <w:pPr>
              <w:spacing w:line="300" w:lineRule="exact"/>
              <w:jc w:val="center"/>
              <w:rPr>
                <w:color w:val="000000"/>
                <w:sz w:val="24"/>
              </w:rPr>
            </w:pPr>
            <w:r>
              <w:rPr>
                <w:color w:val="000000"/>
                <w:sz w:val="24"/>
              </w:rPr>
              <w:t>市经信局</w:t>
            </w:r>
          </w:p>
          <w:p>
            <w:pPr>
              <w:spacing w:line="300" w:lineRule="exact"/>
              <w:jc w:val="center"/>
              <w:rPr>
                <w:color w:val="000000"/>
                <w:sz w:val="24"/>
              </w:rPr>
            </w:pPr>
            <w:r>
              <w:rPr>
                <w:color w:val="000000"/>
                <w:sz w:val="24"/>
              </w:rPr>
              <w:t>市商务局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0" w:type="auto"/>
            <w:vMerge w:val="continue"/>
            <w:noWrap w:val="0"/>
            <w:vAlign w:val="center"/>
          </w:tcPr>
          <w:p>
            <w:pPr>
              <w:jc w:val="center"/>
              <w:rPr>
                <w:color w:val="000000"/>
              </w:rPr>
            </w:pPr>
          </w:p>
        </w:tc>
        <w:tc>
          <w:tcPr>
            <w:tcW w:w="0" w:type="auto"/>
            <w:vMerge w:val="continue"/>
            <w:noWrap w:val="0"/>
            <w:vAlign w:val="center"/>
          </w:tcPr>
          <w:p>
            <w:pPr>
              <w:rPr>
                <w:color w:val="000000"/>
              </w:rPr>
            </w:pPr>
          </w:p>
        </w:tc>
        <w:tc>
          <w:tcPr>
            <w:tcW w:w="2361" w:type="dxa"/>
            <w:noWrap w:val="0"/>
            <w:vAlign w:val="center"/>
          </w:tcPr>
          <w:p>
            <w:pPr>
              <w:rPr>
                <w:color w:val="000000"/>
                <w:sz w:val="24"/>
              </w:rPr>
            </w:pPr>
            <w:r>
              <w:rPr>
                <w:color w:val="000000"/>
                <w:sz w:val="24"/>
              </w:rPr>
              <w:t>（十一）积极发展绿色物流。</w:t>
            </w:r>
          </w:p>
        </w:tc>
        <w:tc>
          <w:tcPr>
            <w:tcW w:w="4575" w:type="dxa"/>
            <w:noWrap w:val="0"/>
            <w:vAlign w:val="center"/>
          </w:tcPr>
          <w:p>
            <w:pPr>
              <w:rPr>
                <w:color w:val="000000"/>
                <w:spacing w:val="-4"/>
                <w:sz w:val="24"/>
              </w:rPr>
            </w:pPr>
            <w:r>
              <w:rPr>
                <w:color w:val="000000"/>
                <w:spacing w:val="-4"/>
                <w:sz w:val="24"/>
              </w:rPr>
              <w:t>推广快递环保袋、环保芯片编织袋、电子面单、信息标准等试点。鼓励企业提高“瘦身胶带”、循环中转袋使用比率，减少电商件二次包装比率，推动包装绿色化、减量化。推广网点绿色包装回收箱设置，促进快递包装回收循环使用。推进物流单元化、一体化运作。以托盘、包装箱、周转箱（筐）、集装箱为单元，推动包装、储存、装卸、搬运、分拣、配送、运输等物流各环节一体化运作，鼓励生产制造企业使用标准托盘、包装箱（600mm×400mm模数系列）将产品整合为规格化、标准化的集装单元，从源头发展单元化物流。推广先进成熟模式。</w:t>
            </w:r>
          </w:p>
        </w:tc>
        <w:tc>
          <w:tcPr>
            <w:tcW w:w="1824" w:type="dxa"/>
            <w:tcBorders>
              <w:left w:val="single" w:color="auto" w:sz="4" w:space="0"/>
              <w:right w:val="single" w:color="auto" w:sz="4" w:space="0"/>
            </w:tcBorders>
            <w:noWrap w:val="0"/>
            <w:vAlign w:val="center"/>
          </w:tcPr>
          <w:p>
            <w:pPr>
              <w:jc w:val="center"/>
              <w:rPr>
                <w:color w:val="000000"/>
                <w:sz w:val="24"/>
              </w:rPr>
            </w:pPr>
            <w:r>
              <w:rPr>
                <w:color w:val="000000"/>
                <w:sz w:val="24"/>
              </w:rPr>
              <w:t>市邮政管理局</w:t>
            </w:r>
          </w:p>
          <w:p>
            <w:pPr>
              <w:jc w:val="center"/>
              <w:rPr>
                <w:color w:val="000000"/>
                <w:sz w:val="24"/>
              </w:rPr>
            </w:pPr>
            <w:r>
              <w:rPr>
                <w:color w:val="000000"/>
                <w:sz w:val="24"/>
              </w:rPr>
              <w:t>市商务局</w:t>
            </w:r>
          </w:p>
        </w:tc>
        <w:tc>
          <w:tcPr>
            <w:tcW w:w="1810" w:type="dxa"/>
            <w:tcBorders>
              <w:left w:val="single" w:color="auto" w:sz="4" w:space="0"/>
            </w:tcBorders>
            <w:noWrap w:val="0"/>
            <w:vAlign w:val="center"/>
          </w:tcPr>
          <w:p>
            <w:pPr>
              <w:jc w:val="center"/>
              <w:rPr>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832" w:type="dxa"/>
            <w:vMerge w:val="restart"/>
            <w:noWrap w:val="0"/>
            <w:vAlign w:val="center"/>
          </w:tcPr>
          <w:p>
            <w:pPr>
              <w:spacing w:line="300" w:lineRule="exact"/>
              <w:jc w:val="center"/>
              <w:rPr>
                <w:color w:val="000000"/>
                <w:sz w:val="24"/>
              </w:rPr>
            </w:pPr>
            <w:r>
              <w:rPr>
                <w:color w:val="000000"/>
                <w:sz w:val="24"/>
              </w:rPr>
              <w:t>3</w:t>
            </w:r>
          </w:p>
        </w:tc>
        <w:tc>
          <w:tcPr>
            <w:tcW w:w="1558" w:type="dxa"/>
            <w:vMerge w:val="restart"/>
            <w:noWrap w:val="0"/>
            <w:vAlign w:val="center"/>
          </w:tcPr>
          <w:p>
            <w:pPr>
              <w:spacing w:line="300" w:lineRule="exact"/>
              <w:rPr>
                <w:color w:val="000000"/>
                <w:sz w:val="24"/>
              </w:rPr>
            </w:pPr>
            <w:r>
              <w:rPr>
                <w:color w:val="000000"/>
                <w:sz w:val="24"/>
              </w:rPr>
              <w:t>统筹推进物流设施一体化建设</w:t>
            </w:r>
          </w:p>
          <w:p>
            <w:pPr>
              <w:tabs>
                <w:tab w:val="left" w:pos="975"/>
              </w:tabs>
              <w:spacing w:line="300" w:lineRule="exact"/>
              <w:rPr>
                <w:color w:val="000000"/>
                <w:sz w:val="24"/>
              </w:rPr>
            </w:pPr>
          </w:p>
        </w:tc>
        <w:tc>
          <w:tcPr>
            <w:tcW w:w="2361" w:type="dxa"/>
            <w:noWrap w:val="0"/>
            <w:vAlign w:val="center"/>
          </w:tcPr>
          <w:p>
            <w:pPr>
              <w:pStyle w:val="7"/>
              <w:spacing w:line="300" w:lineRule="exact"/>
              <w:ind w:firstLine="0" w:firstLineChars="0"/>
              <w:rPr>
                <w:color w:val="000000"/>
                <w:sz w:val="24"/>
              </w:rPr>
            </w:pPr>
            <w:r>
              <w:rPr>
                <w:color w:val="000000"/>
                <w:sz w:val="24"/>
              </w:rPr>
              <w:t>（十二）建立全市物流设施一体化规划建设机制。</w:t>
            </w:r>
          </w:p>
        </w:tc>
        <w:tc>
          <w:tcPr>
            <w:tcW w:w="4575" w:type="dxa"/>
            <w:noWrap w:val="0"/>
            <w:vAlign w:val="center"/>
          </w:tcPr>
          <w:p>
            <w:pPr>
              <w:spacing w:line="300" w:lineRule="exact"/>
              <w:rPr>
                <w:color w:val="000000"/>
                <w:sz w:val="24"/>
              </w:rPr>
            </w:pPr>
            <w:r>
              <w:rPr>
                <w:color w:val="000000"/>
                <w:sz w:val="24"/>
              </w:rPr>
              <w:t>建立物流设施布局、规划、建设“一张蓝图”长效机制，将交通、商务部门组织编制的物流行业专项规划内容统筹纳入各级国土空间规划，在土地空间保障上予以支持。</w:t>
            </w:r>
          </w:p>
        </w:tc>
        <w:tc>
          <w:tcPr>
            <w:tcW w:w="1824" w:type="dxa"/>
            <w:tcBorders>
              <w:left w:val="single" w:color="auto" w:sz="4" w:space="0"/>
              <w:right w:val="single" w:color="auto" w:sz="4" w:space="0"/>
            </w:tcBorders>
            <w:noWrap w:val="0"/>
            <w:vAlign w:val="center"/>
          </w:tcPr>
          <w:p>
            <w:pPr>
              <w:spacing w:line="300" w:lineRule="exact"/>
              <w:jc w:val="center"/>
              <w:rPr>
                <w:color w:val="000000"/>
                <w:sz w:val="24"/>
              </w:rPr>
            </w:pPr>
            <w:r>
              <w:rPr>
                <w:color w:val="000000"/>
                <w:sz w:val="24"/>
              </w:rPr>
              <w:t>市自然资源和规划局</w:t>
            </w:r>
          </w:p>
        </w:tc>
        <w:tc>
          <w:tcPr>
            <w:tcW w:w="1810" w:type="dxa"/>
            <w:tcBorders>
              <w:left w:val="single" w:color="auto" w:sz="4" w:space="0"/>
            </w:tcBorders>
            <w:noWrap w:val="0"/>
            <w:vAlign w:val="center"/>
          </w:tcPr>
          <w:p>
            <w:pPr>
              <w:spacing w:line="300" w:lineRule="exact"/>
              <w:jc w:val="center"/>
              <w:rPr>
                <w:color w:val="000000"/>
                <w:sz w:val="24"/>
              </w:rPr>
            </w:pPr>
            <w:r>
              <w:rPr>
                <w:color w:val="000000"/>
                <w:sz w:val="24"/>
              </w:rPr>
              <w:t>市交通运输局</w:t>
            </w:r>
          </w:p>
          <w:p>
            <w:pPr>
              <w:spacing w:line="300" w:lineRule="exact"/>
              <w:jc w:val="center"/>
              <w:rPr>
                <w:color w:val="000000"/>
                <w:sz w:val="24"/>
              </w:rPr>
            </w:pPr>
            <w:r>
              <w:rPr>
                <w:color w:val="000000"/>
                <w:sz w:val="24"/>
              </w:rPr>
              <w:t>市商务局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0" w:type="auto"/>
            <w:vMerge w:val="continue"/>
            <w:noWrap w:val="0"/>
            <w:vAlign w:val="center"/>
          </w:tcPr>
          <w:p>
            <w:pPr>
              <w:spacing w:line="300" w:lineRule="exact"/>
              <w:jc w:val="center"/>
              <w:rPr>
                <w:color w:val="000000"/>
                <w:sz w:val="24"/>
              </w:rPr>
            </w:pPr>
          </w:p>
        </w:tc>
        <w:tc>
          <w:tcPr>
            <w:tcW w:w="0" w:type="auto"/>
            <w:vMerge w:val="continue"/>
            <w:noWrap w:val="0"/>
            <w:vAlign w:val="center"/>
          </w:tcPr>
          <w:p>
            <w:pPr>
              <w:spacing w:line="300" w:lineRule="exact"/>
              <w:rPr>
                <w:color w:val="000000"/>
                <w:sz w:val="24"/>
              </w:rPr>
            </w:pPr>
          </w:p>
        </w:tc>
        <w:tc>
          <w:tcPr>
            <w:tcW w:w="2361" w:type="dxa"/>
            <w:vMerge w:val="restart"/>
            <w:noWrap w:val="0"/>
            <w:vAlign w:val="center"/>
          </w:tcPr>
          <w:p>
            <w:pPr>
              <w:pStyle w:val="7"/>
              <w:spacing w:line="300" w:lineRule="exact"/>
              <w:ind w:firstLine="0" w:firstLineChars="0"/>
              <w:rPr>
                <w:color w:val="000000"/>
                <w:sz w:val="24"/>
              </w:rPr>
            </w:pPr>
            <w:r>
              <w:rPr>
                <w:color w:val="000000"/>
                <w:sz w:val="24"/>
              </w:rPr>
              <w:t>（十三）推动物流基础设施枢纽建设。</w:t>
            </w:r>
          </w:p>
        </w:tc>
        <w:tc>
          <w:tcPr>
            <w:tcW w:w="4575" w:type="dxa"/>
            <w:noWrap w:val="0"/>
            <w:vAlign w:val="center"/>
          </w:tcPr>
          <w:p>
            <w:pPr>
              <w:spacing w:line="320" w:lineRule="exact"/>
              <w:rPr>
                <w:color w:val="000000"/>
                <w:sz w:val="24"/>
              </w:rPr>
            </w:pPr>
            <w:r>
              <w:rPr>
                <w:color w:val="000000"/>
                <w:sz w:val="24"/>
              </w:rPr>
              <w:t>积极鼓励申报国家物流枢纽建设项目，培育形成一批资源整合能力强、运营模式先进的枢纽运营企业。推动物流枢纽建设，促进区域内和跨区域物流组织化、规模化、网络化运行。</w:t>
            </w:r>
          </w:p>
        </w:tc>
        <w:tc>
          <w:tcPr>
            <w:tcW w:w="1824" w:type="dxa"/>
            <w:tcBorders>
              <w:left w:val="single" w:color="auto" w:sz="4" w:space="0"/>
              <w:right w:val="single" w:color="auto" w:sz="4" w:space="0"/>
            </w:tcBorders>
            <w:noWrap w:val="0"/>
            <w:vAlign w:val="center"/>
          </w:tcPr>
          <w:p>
            <w:pPr>
              <w:spacing w:line="300" w:lineRule="exact"/>
              <w:jc w:val="center"/>
              <w:rPr>
                <w:color w:val="000000"/>
                <w:sz w:val="24"/>
              </w:rPr>
            </w:pPr>
            <w:r>
              <w:rPr>
                <w:color w:val="000000"/>
                <w:sz w:val="24"/>
              </w:rPr>
              <w:t>市发改委</w:t>
            </w:r>
          </w:p>
        </w:tc>
        <w:tc>
          <w:tcPr>
            <w:tcW w:w="1810" w:type="dxa"/>
            <w:tcBorders>
              <w:left w:val="single" w:color="auto" w:sz="4" w:space="0"/>
            </w:tcBorders>
            <w:noWrap w:val="0"/>
            <w:vAlign w:val="center"/>
          </w:tcPr>
          <w:p>
            <w:pPr>
              <w:spacing w:line="300" w:lineRule="exact"/>
              <w:jc w:val="center"/>
              <w:rPr>
                <w:color w:val="000000"/>
                <w:sz w:val="24"/>
              </w:rPr>
            </w:pPr>
            <w:r>
              <w:rPr>
                <w:color w:val="000000"/>
                <w:sz w:val="24"/>
              </w:rPr>
              <w:t>市交通运输局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0" w:type="auto"/>
            <w:vMerge w:val="continue"/>
            <w:noWrap w:val="0"/>
            <w:vAlign w:val="center"/>
          </w:tcPr>
          <w:p>
            <w:pPr>
              <w:spacing w:line="300" w:lineRule="exact"/>
              <w:jc w:val="center"/>
              <w:rPr>
                <w:color w:val="000000"/>
                <w:sz w:val="24"/>
              </w:rPr>
            </w:pPr>
          </w:p>
        </w:tc>
        <w:tc>
          <w:tcPr>
            <w:tcW w:w="0" w:type="auto"/>
            <w:vMerge w:val="continue"/>
            <w:noWrap w:val="0"/>
            <w:vAlign w:val="center"/>
          </w:tcPr>
          <w:p>
            <w:pPr>
              <w:spacing w:line="300" w:lineRule="exact"/>
              <w:rPr>
                <w:color w:val="000000"/>
                <w:sz w:val="24"/>
              </w:rPr>
            </w:pPr>
          </w:p>
        </w:tc>
        <w:tc>
          <w:tcPr>
            <w:tcW w:w="0" w:type="auto"/>
            <w:vMerge w:val="continue"/>
            <w:noWrap w:val="0"/>
            <w:vAlign w:val="center"/>
          </w:tcPr>
          <w:p>
            <w:pPr>
              <w:spacing w:line="300" w:lineRule="exact"/>
              <w:rPr>
                <w:color w:val="000000"/>
                <w:sz w:val="24"/>
              </w:rPr>
            </w:pPr>
          </w:p>
        </w:tc>
        <w:tc>
          <w:tcPr>
            <w:tcW w:w="4575" w:type="dxa"/>
            <w:noWrap w:val="0"/>
            <w:vAlign w:val="center"/>
          </w:tcPr>
          <w:p>
            <w:pPr>
              <w:spacing w:line="320" w:lineRule="exact"/>
              <w:rPr>
                <w:color w:val="000000"/>
                <w:sz w:val="24"/>
              </w:rPr>
            </w:pPr>
            <w:r>
              <w:rPr>
                <w:color w:val="000000"/>
                <w:sz w:val="24"/>
              </w:rPr>
              <w:t>加快冷链物流基础设施建设，对企业建设城市共同配送、冷链配送、供应链综合服务平台等项目，按照实际投资额的20%予以补助，最高不超过50万元。</w:t>
            </w:r>
          </w:p>
        </w:tc>
        <w:tc>
          <w:tcPr>
            <w:tcW w:w="1824" w:type="dxa"/>
            <w:tcBorders>
              <w:left w:val="single" w:color="auto" w:sz="4" w:space="0"/>
              <w:right w:val="single" w:color="auto" w:sz="4" w:space="0"/>
            </w:tcBorders>
            <w:noWrap w:val="0"/>
            <w:vAlign w:val="center"/>
          </w:tcPr>
          <w:p>
            <w:pPr>
              <w:spacing w:line="300" w:lineRule="exact"/>
              <w:jc w:val="center"/>
              <w:rPr>
                <w:color w:val="000000"/>
                <w:sz w:val="24"/>
              </w:rPr>
            </w:pPr>
            <w:r>
              <w:rPr>
                <w:color w:val="000000"/>
                <w:sz w:val="24"/>
              </w:rPr>
              <w:t>市商务局</w:t>
            </w:r>
          </w:p>
        </w:tc>
        <w:tc>
          <w:tcPr>
            <w:tcW w:w="1810" w:type="dxa"/>
            <w:tcBorders>
              <w:left w:val="single" w:color="auto" w:sz="4" w:space="0"/>
            </w:tcBorders>
            <w:noWrap w:val="0"/>
            <w:vAlign w:val="center"/>
          </w:tcPr>
          <w:p>
            <w:pPr>
              <w:spacing w:line="300" w:lineRule="exact"/>
              <w:jc w:val="center"/>
              <w:rPr>
                <w:color w:val="000000"/>
                <w:sz w:val="24"/>
              </w:rPr>
            </w:pPr>
            <w:r>
              <w:rPr>
                <w:color w:val="000000"/>
                <w:sz w:val="24"/>
              </w:rPr>
              <w:t>市发改委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832" w:type="dxa"/>
            <w:vMerge w:val="restart"/>
            <w:noWrap w:val="0"/>
            <w:vAlign w:val="center"/>
          </w:tcPr>
          <w:p>
            <w:pPr>
              <w:spacing w:line="300" w:lineRule="exact"/>
              <w:jc w:val="center"/>
              <w:rPr>
                <w:color w:val="000000"/>
                <w:sz w:val="24"/>
              </w:rPr>
            </w:pPr>
          </w:p>
        </w:tc>
        <w:tc>
          <w:tcPr>
            <w:tcW w:w="1558" w:type="dxa"/>
            <w:vMerge w:val="restart"/>
            <w:noWrap w:val="0"/>
            <w:vAlign w:val="center"/>
          </w:tcPr>
          <w:p>
            <w:pPr>
              <w:spacing w:line="300" w:lineRule="exact"/>
              <w:rPr>
                <w:color w:val="000000"/>
                <w:sz w:val="24"/>
              </w:rPr>
            </w:pPr>
          </w:p>
        </w:tc>
        <w:tc>
          <w:tcPr>
            <w:tcW w:w="2361" w:type="dxa"/>
            <w:vMerge w:val="restart"/>
            <w:noWrap w:val="0"/>
            <w:vAlign w:val="center"/>
          </w:tcPr>
          <w:p>
            <w:pPr>
              <w:spacing w:line="300" w:lineRule="exact"/>
              <w:rPr>
                <w:color w:val="000000"/>
                <w:sz w:val="24"/>
              </w:rPr>
            </w:pPr>
            <w:r>
              <w:rPr>
                <w:color w:val="000000"/>
                <w:sz w:val="24"/>
              </w:rPr>
              <w:t>（十四）畅通城乡高效配送体系建设。</w:t>
            </w:r>
          </w:p>
        </w:tc>
        <w:tc>
          <w:tcPr>
            <w:tcW w:w="4575" w:type="dxa"/>
            <w:noWrap w:val="0"/>
            <w:vAlign w:val="center"/>
          </w:tcPr>
          <w:p>
            <w:pPr>
              <w:spacing w:line="300" w:lineRule="exact"/>
              <w:rPr>
                <w:color w:val="000000"/>
                <w:sz w:val="24"/>
              </w:rPr>
            </w:pPr>
            <w:r>
              <w:rPr>
                <w:color w:val="000000"/>
                <w:sz w:val="24"/>
              </w:rPr>
              <w:t>继续做好农村物流服务网点建设工作。鼓励城乡配送企业改造、整合农村客运站、邮政所、城乡连锁超市、粮食收购站、农资配送店等现有资源，构建起县、乡、村的三级城乡配送网络。</w:t>
            </w:r>
          </w:p>
        </w:tc>
        <w:tc>
          <w:tcPr>
            <w:tcW w:w="1824" w:type="dxa"/>
            <w:tcBorders>
              <w:left w:val="single" w:color="auto" w:sz="4" w:space="0"/>
              <w:right w:val="single" w:color="auto" w:sz="4" w:space="0"/>
            </w:tcBorders>
            <w:noWrap w:val="0"/>
            <w:vAlign w:val="center"/>
          </w:tcPr>
          <w:p>
            <w:pPr>
              <w:spacing w:line="300" w:lineRule="exact"/>
              <w:jc w:val="center"/>
              <w:rPr>
                <w:color w:val="000000"/>
                <w:sz w:val="24"/>
              </w:rPr>
            </w:pPr>
            <w:r>
              <w:rPr>
                <w:color w:val="000000"/>
                <w:sz w:val="24"/>
              </w:rPr>
              <w:t>市邮政管理局</w:t>
            </w:r>
          </w:p>
        </w:tc>
        <w:tc>
          <w:tcPr>
            <w:tcW w:w="1810" w:type="dxa"/>
            <w:tcBorders>
              <w:left w:val="single" w:color="auto" w:sz="4" w:space="0"/>
            </w:tcBorders>
            <w:noWrap w:val="0"/>
            <w:vAlign w:val="center"/>
          </w:tcPr>
          <w:p>
            <w:pPr>
              <w:spacing w:line="300" w:lineRule="exact"/>
              <w:jc w:val="center"/>
              <w:rPr>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0" w:type="auto"/>
            <w:vMerge w:val="continue"/>
            <w:noWrap w:val="0"/>
            <w:vAlign w:val="center"/>
          </w:tcPr>
          <w:p>
            <w:pPr>
              <w:spacing w:line="300" w:lineRule="exact"/>
              <w:jc w:val="center"/>
              <w:rPr>
                <w:color w:val="000000"/>
                <w:sz w:val="24"/>
              </w:rPr>
            </w:pPr>
          </w:p>
        </w:tc>
        <w:tc>
          <w:tcPr>
            <w:tcW w:w="0" w:type="auto"/>
            <w:vMerge w:val="continue"/>
            <w:noWrap w:val="0"/>
            <w:vAlign w:val="center"/>
          </w:tcPr>
          <w:p>
            <w:pPr>
              <w:spacing w:line="300" w:lineRule="exact"/>
              <w:rPr>
                <w:color w:val="000000"/>
                <w:sz w:val="24"/>
              </w:rPr>
            </w:pPr>
          </w:p>
        </w:tc>
        <w:tc>
          <w:tcPr>
            <w:tcW w:w="0" w:type="auto"/>
            <w:vMerge w:val="continue"/>
            <w:noWrap w:val="0"/>
            <w:vAlign w:val="center"/>
          </w:tcPr>
          <w:p>
            <w:pPr>
              <w:spacing w:line="300" w:lineRule="exact"/>
              <w:rPr>
                <w:color w:val="000000"/>
                <w:sz w:val="24"/>
              </w:rPr>
            </w:pPr>
          </w:p>
        </w:tc>
        <w:tc>
          <w:tcPr>
            <w:tcW w:w="4575" w:type="dxa"/>
            <w:noWrap w:val="0"/>
            <w:vAlign w:val="center"/>
          </w:tcPr>
          <w:p>
            <w:pPr>
              <w:spacing w:line="300" w:lineRule="exact"/>
              <w:rPr>
                <w:color w:val="000000"/>
                <w:sz w:val="24"/>
              </w:rPr>
            </w:pPr>
            <w:r>
              <w:rPr>
                <w:color w:val="000000"/>
                <w:sz w:val="24"/>
              </w:rPr>
              <w:t>继续做好农村物流服务网点建设工作，今年年底前完成建设任务235个。</w:t>
            </w:r>
          </w:p>
        </w:tc>
        <w:tc>
          <w:tcPr>
            <w:tcW w:w="1824" w:type="dxa"/>
            <w:tcBorders>
              <w:left w:val="single" w:color="auto" w:sz="4" w:space="0"/>
              <w:right w:val="single" w:color="auto" w:sz="4" w:space="0"/>
            </w:tcBorders>
            <w:noWrap w:val="0"/>
            <w:vAlign w:val="center"/>
          </w:tcPr>
          <w:p>
            <w:pPr>
              <w:spacing w:line="300" w:lineRule="exact"/>
              <w:jc w:val="center"/>
              <w:rPr>
                <w:color w:val="000000"/>
                <w:sz w:val="24"/>
              </w:rPr>
            </w:pPr>
            <w:r>
              <w:rPr>
                <w:color w:val="000000"/>
                <w:sz w:val="24"/>
              </w:rPr>
              <w:t>市交通运输局</w:t>
            </w:r>
          </w:p>
        </w:tc>
        <w:tc>
          <w:tcPr>
            <w:tcW w:w="1810" w:type="dxa"/>
            <w:tcBorders>
              <w:left w:val="single" w:color="auto" w:sz="4" w:space="0"/>
            </w:tcBorders>
            <w:noWrap w:val="0"/>
            <w:vAlign w:val="center"/>
          </w:tcPr>
          <w:p>
            <w:pPr>
              <w:spacing w:line="300" w:lineRule="exact"/>
              <w:jc w:val="center"/>
              <w:rPr>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832" w:type="dxa"/>
            <w:vMerge w:val="restart"/>
            <w:noWrap w:val="0"/>
            <w:vAlign w:val="center"/>
          </w:tcPr>
          <w:p>
            <w:pPr>
              <w:spacing w:line="300" w:lineRule="exact"/>
              <w:jc w:val="center"/>
              <w:rPr>
                <w:color w:val="000000"/>
                <w:sz w:val="24"/>
              </w:rPr>
            </w:pPr>
            <w:r>
              <w:rPr>
                <w:color w:val="000000"/>
                <w:sz w:val="24"/>
              </w:rPr>
              <w:t>4</w:t>
            </w:r>
          </w:p>
        </w:tc>
        <w:tc>
          <w:tcPr>
            <w:tcW w:w="1558" w:type="dxa"/>
            <w:vMerge w:val="restart"/>
            <w:noWrap w:val="0"/>
            <w:vAlign w:val="center"/>
          </w:tcPr>
          <w:p>
            <w:pPr>
              <w:spacing w:line="300" w:lineRule="exact"/>
              <w:rPr>
                <w:color w:val="000000"/>
                <w:sz w:val="24"/>
              </w:rPr>
            </w:pPr>
            <w:r>
              <w:rPr>
                <w:color w:val="000000"/>
                <w:sz w:val="24"/>
              </w:rPr>
              <w:t>加强重点领域和薄弱环节建设</w:t>
            </w:r>
          </w:p>
        </w:tc>
        <w:tc>
          <w:tcPr>
            <w:tcW w:w="2361" w:type="dxa"/>
            <w:noWrap w:val="0"/>
            <w:vAlign w:val="center"/>
          </w:tcPr>
          <w:p>
            <w:pPr>
              <w:spacing w:line="300" w:lineRule="exact"/>
              <w:rPr>
                <w:color w:val="000000"/>
                <w:sz w:val="24"/>
              </w:rPr>
            </w:pPr>
            <w:r>
              <w:rPr>
                <w:color w:val="000000"/>
                <w:sz w:val="24"/>
              </w:rPr>
              <w:t>（十五）保障物流用地需求</w:t>
            </w:r>
            <w:r>
              <w:rPr>
                <w:color w:val="000000"/>
                <w:sz w:val="24"/>
              </w:rPr>
              <w:softHyphen/>
            </w:r>
            <w:r>
              <w:rPr>
                <w:color w:val="000000"/>
                <w:sz w:val="24"/>
              </w:rPr>
              <w:t>。</w:t>
            </w:r>
          </w:p>
        </w:tc>
        <w:tc>
          <w:tcPr>
            <w:tcW w:w="4575" w:type="dxa"/>
            <w:noWrap w:val="0"/>
            <w:vAlign w:val="center"/>
          </w:tcPr>
          <w:p>
            <w:pPr>
              <w:spacing w:line="300" w:lineRule="exact"/>
              <w:rPr>
                <w:color w:val="000000"/>
                <w:sz w:val="24"/>
              </w:rPr>
            </w:pPr>
            <w:r>
              <w:rPr>
                <w:color w:val="000000"/>
                <w:sz w:val="24"/>
              </w:rPr>
              <w:t>统筹新增建设用地计划指标、城乡建设用地增减挂钩结余指标，积极保障重大物流基础设施项目用地。积极鼓励通过“先租后让”“租让结合”等多种方式向物流企业供地。积极支持利用工业企业旧厂房、仓库和存量土地资源建设物流设施或提供物流服务,涉及原划拨土地使用权转让或租赁的,经批准可采取协议方式办理土地有偿使用手续。在符合规划、不改变用途的前提下，对提高自有工业用地或仓储用地利用率、容积率并用于仓储、分拨转运等物流设施建设的，不再增收土地价款。</w:t>
            </w:r>
          </w:p>
        </w:tc>
        <w:tc>
          <w:tcPr>
            <w:tcW w:w="1824" w:type="dxa"/>
            <w:tcBorders>
              <w:left w:val="single" w:color="auto" w:sz="4" w:space="0"/>
              <w:right w:val="single" w:color="auto" w:sz="4" w:space="0"/>
            </w:tcBorders>
            <w:noWrap w:val="0"/>
            <w:vAlign w:val="center"/>
          </w:tcPr>
          <w:p>
            <w:pPr>
              <w:spacing w:line="300" w:lineRule="exact"/>
              <w:jc w:val="center"/>
              <w:rPr>
                <w:color w:val="000000"/>
                <w:sz w:val="24"/>
              </w:rPr>
            </w:pPr>
            <w:r>
              <w:rPr>
                <w:color w:val="000000"/>
                <w:sz w:val="24"/>
              </w:rPr>
              <w:t>市自然资源和规划局</w:t>
            </w:r>
          </w:p>
        </w:tc>
        <w:tc>
          <w:tcPr>
            <w:tcW w:w="1810" w:type="dxa"/>
            <w:tcBorders>
              <w:left w:val="single" w:color="auto" w:sz="4" w:space="0"/>
            </w:tcBorders>
            <w:noWrap w:val="0"/>
            <w:vAlign w:val="center"/>
          </w:tcPr>
          <w:p>
            <w:pPr>
              <w:spacing w:line="300" w:lineRule="exact"/>
              <w:jc w:val="center"/>
              <w:rPr>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0" w:type="auto"/>
            <w:vMerge w:val="continue"/>
            <w:noWrap w:val="0"/>
            <w:vAlign w:val="center"/>
          </w:tcPr>
          <w:p>
            <w:pPr>
              <w:spacing w:line="300" w:lineRule="exact"/>
              <w:jc w:val="center"/>
              <w:rPr>
                <w:color w:val="000000"/>
                <w:sz w:val="24"/>
              </w:rPr>
            </w:pPr>
          </w:p>
        </w:tc>
        <w:tc>
          <w:tcPr>
            <w:tcW w:w="0" w:type="auto"/>
            <w:vMerge w:val="continue"/>
            <w:noWrap w:val="0"/>
            <w:vAlign w:val="center"/>
          </w:tcPr>
          <w:p>
            <w:pPr>
              <w:spacing w:line="300" w:lineRule="exact"/>
              <w:rPr>
                <w:color w:val="000000"/>
                <w:sz w:val="24"/>
              </w:rPr>
            </w:pPr>
          </w:p>
        </w:tc>
        <w:tc>
          <w:tcPr>
            <w:tcW w:w="2361" w:type="dxa"/>
            <w:noWrap w:val="0"/>
            <w:vAlign w:val="center"/>
          </w:tcPr>
          <w:p>
            <w:pPr>
              <w:spacing w:line="300" w:lineRule="exact"/>
              <w:rPr>
                <w:color w:val="000000"/>
                <w:sz w:val="24"/>
              </w:rPr>
            </w:pPr>
            <w:r>
              <w:rPr>
                <w:color w:val="000000"/>
                <w:sz w:val="24"/>
              </w:rPr>
              <w:t>（十六）畅通物流企业融资渠道。</w:t>
            </w:r>
          </w:p>
        </w:tc>
        <w:tc>
          <w:tcPr>
            <w:tcW w:w="4575" w:type="dxa"/>
            <w:noWrap w:val="0"/>
            <w:vAlign w:val="center"/>
          </w:tcPr>
          <w:p>
            <w:pPr>
              <w:spacing w:line="300" w:lineRule="exact"/>
              <w:rPr>
                <w:color w:val="000000"/>
                <w:sz w:val="24"/>
              </w:rPr>
            </w:pPr>
            <w:r>
              <w:rPr>
                <w:color w:val="000000"/>
                <w:sz w:val="24"/>
              </w:rPr>
              <w:t>引导全市金融机构利用浙江省金融综合服务平台、市金融信用信息服务平台，推动发放物流企业中长期贷款、无还本续贷和信用贷款，开拓物流企业首贷户。鼓励发展供应链金融，依托核心企业加强对上下游小微企业的金融服务。鼓励保险公司为物流企业信贷提供保证保险，加大政策性担保公司对物流企业的信贷支持。</w:t>
            </w:r>
          </w:p>
        </w:tc>
        <w:tc>
          <w:tcPr>
            <w:tcW w:w="1824" w:type="dxa"/>
            <w:tcBorders>
              <w:left w:val="single" w:color="auto" w:sz="4" w:space="0"/>
              <w:right w:val="single" w:color="auto" w:sz="4" w:space="0"/>
            </w:tcBorders>
            <w:noWrap w:val="0"/>
            <w:vAlign w:val="center"/>
          </w:tcPr>
          <w:p>
            <w:pPr>
              <w:spacing w:line="300" w:lineRule="exact"/>
              <w:jc w:val="center"/>
              <w:rPr>
                <w:color w:val="000000"/>
                <w:sz w:val="24"/>
              </w:rPr>
            </w:pPr>
            <w:r>
              <w:rPr>
                <w:color w:val="000000"/>
                <w:sz w:val="24"/>
              </w:rPr>
              <w:t>市金融办</w:t>
            </w:r>
          </w:p>
          <w:p>
            <w:pPr>
              <w:spacing w:line="300" w:lineRule="exact"/>
              <w:jc w:val="center"/>
              <w:rPr>
                <w:rFonts w:hint="eastAsia"/>
                <w:color w:val="000000"/>
                <w:sz w:val="24"/>
              </w:rPr>
            </w:pPr>
            <w:r>
              <w:rPr>
                <w:color w:val="000000"/>
                <w:sz w:val="24"/>
              </w:rPr>
              <w:t>绍兴银保监</w:t>
            </w:r>
          </w:p>
          <w:p>
            <w:pPr>
              <w:spacing w:line="300" w:lineRule="exact"/>
              <w:jc w:val="center"/>
              <w:rPr>
                <w:color w:val="000000"/>
                <w:sz w:val="24"/>
              </w:rPr>
            </w:pPr>
            <w:r>
              <w:rPr>
                <w:color w:val="000000"/>
                <w:sz w:val="24"/>
              </w:rPr>
              <w:t>分局</w:t>
            </w:r>
          </w:p>
          <w:p>
            <w:pPr>
              <w:spacing w:line="300" w:lineRule="exact"/>
              <w:jc w:val="center"/>
              <w:rPr>
                <w:color w:val="000000"/>
                <w:sz w:val="24"/>
              </w:rPr>
            </w:pPr>
            <w:r>
              <w:rPr>
                <w:color w:val="000000"/>
                <w:sz w:val="24"/>
              </w:rPr>
              <w:t>人行绍兴市中心支行</w:t>
            </w:r>
          </w:p>
        </w:tc>
        <w:tc>
          <w:tcPr>
            <w:tcW w:w="1810" w:type="dxa"/>
            <w:tcBorders>
              <w:left w:val="single" w:color="auto" w:sz="4" w:space="0"/>
            </w:tcBorders>
            <w:noWrap w:val="0"/>
            <w:vAlign w:val="center"/>
          </w:tcPr>
          <w:p>
            <w:pPr>
              <w:spacing w:line="300" w:lineRule="exact"/>
              <w:jc w:val="center"/>
              <w:rPr>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0" w:type="auto"/>
            <w:vMerge w:val="continue"/>
            <w:noWrap w:val="0"/>
            <w:vAlign w:val="center"/>
          </w:tcPr>
          <w:p>
            <w:pPr>
              <w:jc w:val="center"/>
              <w:rPr>
                <w:color w:val="000000"/>
              </w:rPr>
            </w:pPr>
          </w:p>
        </w:tc>
        <w:tc>
          <w:tcPr>
            <w:tcW w:w="0" w:type="auto"/>
            <w:vMerge w:val="continue"/>
            <w:noWrap w:val="0"/>
            <w:vAlign w:val="center"/>
          </w:tcPr>
          <w:p>
            <w:pPr>
              <w:rPr>
                <w:color w:val="000000"/>
              </w:rPr>
            </w:pPr>
          </w:p>
        </w:tc>
        <w:tc>
          <w:tcPr>
            <w:tcW w:w="2361" w:type="dxa"/>
            <w:noWrap w:val="0"/>
            <w:vAlign w:val="center"/>
          </w:tcPr>
          <w:p>
            <w:pPr>
              <w:rPr>
                <w:color w:val="000000"/>
              </w:rPr>
            </w:pPr>
            <w:r>
              <w:rPr>
                <w:color w:val="000000"/>
                <w:sz w:val="24"/>
              </w:rPr>
              <w:t>（十七）发挥保险保障作用。</w:t>
            </w:r>
          </w:p>
        </w:tc>
        <w:tc>
          <w:tcPr>
            <w:tcW w:w="4575" w:type="dxa"/>
            <w:noWrap w:val="0"/>
            <w:vAlign w:val="center"/>
          </w:tcPr>
          <w:p>
            <w:pPr>
              <w:rPr>
                <w:color w:val="000000"/>
                <w:sz w:val="24"/>
              </w:rPr>
            </w:pPr>
            <w:r>
              <w:rPr>
                <w:color w:val="000000"/>
                <w:sz w:val="24"/>
              </w:rPr>
              <w:t>引导保险业加强与政府部门的协调配合，加快发展符合绍兴特点的政保合作项目，推动保险业在物流行业发展中发挥更大作用。发挥商业保险优势，提高物流企业综合保险产品和物流新兴业态从业人员的意外保险等产品覆盖面。</w:t>
            </w:r>
          </w:p>
        </w:tc>
        <w:tc>
          <w:tcPr>
            <w:tcW w:w="1824" w:type="dxa"/>
            <w:tcBorders>
              <w:left w:val="single" w:color="auto" w:sz="4" w:space="0"/>
              <w:right w:val="single" w:color="auto" w:sz="4" w:space="0"/>
            </w:tcBorders>
            <w:noWrap w:val="0"/>
            <w:vAlign w:val="center"/>
          </w:tcPr>
          <w:p>
            <w:pPr>
              <w:jc w:val="center"/>
              <w:rPr>
                <w:color w:val="000000"/>
                <w:sz w:val="24"/>
              </w:rPr>
            </w:pPr>
            <w:r>
              <w:rPr>
                <w:color w:val="000000"/>
                <w:sz w:val="24"/>
              </w:rPr>
              <w:t>绍兴银保监分局</w:t>
            </w:r>
          </w:p>
        </w:tc>
        <w:tc>
          <w:tcPr>
            <w:tcW w:w="1810" w:type="dxa"/>
            <w:tcBorders>
              <w:left w:val="single" w:color="auto" w:sz="4" w:space="0"/>
            </w:tcBorders>
            <w:noWrap w:val="0"/>
            <w:vAlign w:val="center"/>
          </w:tcPr>
          <w:p>
            <w:pPr>
              <w:jc w:val="center"/>
              <w:rPr>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0" w:type="auto"/>
            <w:vMerge w:val="continue"/>
            <w:noWrap w:val="0"/>
            <w:vAlign w:val="center"/>
          </w:tcPr>
          <w:p>
            <w:pPr>
              <w:jc w:val="center"/>
              <w:rPr>
                <w:color w:val="000000"/>
                <w:sz w:val="24"/>
              </w:rPr>
            </w:pPr>
          </w:p>
        </w:tc>
        <w:tc>
          <w:tcPr>
            <w:tcW w:w="0" w:type="auto"/>
            <w:vMerge w:val="continue"/>
            <w:noWrap w:val="0"/>
            <w:vAlign w:val="center"/>
          </w:tcPr>
          <w:p>
            <w:pPr>
              <w:rPr>
                <w:color w:val="000000"/>
                <w:sz w:val="24"/>
              </w:rPr>
            </w:pPr>
          </w:p>
        </w:tc>
        <w:tc>
          <w:tcPr>
            <w:tcW w:w="2361" w:type="dxa"/>
            <w:noWrap w:val="0"/>
            <w:vAlign w:val="center"/>
          </w:tcPr>
          <w:p>
            <w:pPr>
              <w:rPr>
                <w:color w:val="000000"/>
                <w:sz w:val="24"/>
              </w:rPr>
            </w:pPr>
            <w:r>
              <w:rPr>
                <w:color w:val="000000"/>
                <w:sz w:val="24"/>
              </w:rPr>
              <w:t>（十八）培育骨干物流企业。</w:t>
            </w:r>
          </w:p>
        </w:tc>
        <w:tc>
          <w:tcPr>
            <w:tcW w:w="4575" w:type="dxa"/>
            <w:noWrap w:val="0"/>
            <w:vAlign w:val="center"/>
          </w:tcPr>
          <w:p>
            <w:pPr>
              <w:rPr>
                <w:color w:val="000000"/>
                <w:sz w:val="24"/>
              </w:rPr>
            </w:pPr>
            <w:r>
              <w:rPr>
                <w:color w:val="000000"/>
                <w:sz w:val="24"/>
              </w:rPr>
              <w:t>进一步加大对绍兴港物流园区、集亚物流基地、中国轻纺城国际物流中心等重点物流企业的培育力度，至2020年底，全市A级以上物流企业达38家以上，其中3A级以上25家。积极推动我市网络货运平台建设，培育网络货运经营企业，优化网络货运经营企业经营环境。鼓励物流企业向多式联运经营人、物流全链条服务商转型。</w:t>
            </w:r>
          </w:p>
        </w:tc>
        <w:tc>
          <w:tcPr>
            <w:tcW w:w="1824" w:type="dxa"/>
            <w:tcBorders>
              <w:left w:val="single" w:color="auto" w:sz="4" w:space="0"/>
              <w:right w:val="single" w:color="auto" w:sz="4" w:space="0"/>
            </w:tcBorders>
            <w:noWrap w:val="0"/>
            <w:vAlign w:val="center"/>
          </w:tcPr>
          <w:p>
            <w:pPr>
              <w:jc w:val="center"/>
              <w:rPr>
                <w:color w:val="000000"/>
                <w:sz w:val="24"/>
              </w:rPr>
            </w:pPr>
            <w:r>
              <w:rPr>
                <w:color w:val="000000"/>
                <w:sz w:val="24"/>
              </w:rPr>
              <w:t>市交通运输局</w:t>
            </w:r>
          </w:p>
        </w:tc>
        <w:tc>
          <w:tcPr>
            <w:tcW w:w="1810" w:type="dxa"/>
            <w:tcBorders>
              <w:left w:val="single" w:color="auto" w:sz="4" w:space="0"/>
            </w:tcBorders>
            <w:noWrap w:val="0"/>
            <w:vAlign w:val="center"/>
          </w:tcPr>
          <w:p>
            <w:pPr>
              <w:jc w:val="center"/>
              <w:rPr>
                <w:color w:val="000000"/>
                <w:sz w:val="24"/>
              </w:rPr>
            </w:pPr>
            <w:r>
              <w:rPr>
                <w:color w:val="000000"/>
                <w:sz w:val="24"/>
              </w:rPr>
              <w:t>市发改委</w:t>
            </w:r>
          </w:p>
        </w:tc>
      </w:tr>
    </w:tbl>
    <w:p>
      <w:pPr>
        <w:spacing w:line="600" w:lineRule="exact"/>
        <w:ind w:right="160"/>
        <w:rPr>
          <w:rFonts w:eastAsia="宋体"/>
          <w:b/>
          <w:bCs/>
          <w:color w:val="000000"/>
          <w:sz w:val="44"/>
          <w:szCs w:val="44"/>
        </w:rPr>
        <w:sectPr>
          <w:headerReference r:id="rId5" w:type="default"/>
          <w:headerReference r:id="rId6" w:type="even"/>
          <w:footerReference r:id="rId7" w:type="even"/>
          <w:type w:val="oddPage"/>
          <w:pgSz w:w="16838" w:h="11906" w:orient="landscape"/>
          <w:pgMar w:top="1531" w:right="2098" w:bottom="1531" w:left="1871" w:header="851" w:footer="1531" w:gutter="0"/>
          <w:cols w:space="720" w:num="1"/>
          <w:docGrid w:linePitch="435" w:charSpace="0"/>
        </w:sect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6F8296DC-4F5B-48EC-86F2-9AAFACC14661}"/>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script"/>
    <w:pitch w:val="default"/>
    <w:sig w:usb0="00000001" w:usb1="08000000" w:usb2="00000000" w:usb3="00000000" w:csb0="00040000" w:csb1="00000000"/>
    <w:embedRegular r:id="rId2" w:fontKey="{3A88E853-73F3-4E87-8169-FAED9BA5A1D8}"/>
  </w:font>
  <w:font w:name="楷体_GB2312">
    <w:altName w:val="楷体"/>
    <w:panose1 w:val="02010609030101010101"/>
    <w:charset w:val="86"/>
    <w:family w:val="modern"/>
    <w:pitch w:val="default"/>
    <w:sig w:usb0="00000000" w:usb1="00000000" w:usb2="00000010" w:usb3="00000000" w:csb0="00040000" w:csb1="00000000"/>
    <w:embedRegular r:id="rId3" w:fontKey="{854D70DA-7C58-43EF-9789-736372DFBBD9}"/>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6"/>
        <w:rFonts w:hint="eastAsia" w:ascii="宋体" w:hAnsi="宋体" w:eastAsia="宋体"/>
        <w:sz w:val="28"/>
        <w:szCs w:val="28"/>
      </w:rPr>
    </w:pPr>
    <w:r>
      <w:rPr>
        <w:rStyle w:val="6"/>
        <w:rFonts w:hint="eastAsia" w:ascii="宋体" w:hAnsi="宋体" w:eastAsia="宋体"/>
        <w:sz w:val="28"/>
        <w:szCs w:val="28"/>
      </w:rPr>
      <w:t xml:space="preserve">— </w:t>
    </w:r>
    <w:r>
      <w:rPr>
        <w:rStyle w:val="6"/>
        <w:rFonts w:ascii="宋体" w:hAnsi="宋体" w:eastAsia="宋体"/>
        <w:sz w:val="28"/>
        <w:szCs w:val="28"/>
      </w:rPr>
      <w:fldChar w:fldCharType="begin"/>
    </w:r>
    <w:r>
      <w:rPr>
        <w:rStyle w:val="6"/>
        <w:rFonts w:ascii="宋体" w:hAnsi="宋体" w:eastAsia="宋体"/>
        <w:sz w:val="28"/>
        <w:szCs w:val="28"/>
      </w:rPr>
      <w:instrText xml:space="preserve">PAGE  </w:instrText>
    </w:r>
    <w:r>
      <w:rPr>
        <w:rStyle w:val="6"/>
        <w:rFonts w:ascii="宋体" w:hAnsi="宋体" w:eastAsia="宋体"/>
        <w:sz w:val="28"/>
        <w:szCs w:val="28"/>
      </w:rPr>
      <w:fldChar w:fldCharType="separate"/>
    </w:r>
    <w:r>
      <w:rPr>
        <w:rStyle w:val="6"/>
        <w:rFonts w:ascii="宋体" w:hAnsi="宋体" w:eastAsia="宋体"/>
        <w:sz w:val="28"/>
        <w:szCs w:val="28"/>
      </w:rPr>
      <w:t>1</w:t>
    </w:r>
    <w:r>
      <w:rPr>
        <w:rStyle w:val="6"/>
        <w:rFonts w:ascii="宋体" w:hAnsi="宋体" w:eastAsia="宋体"/>
        <w:sz w:val="28"/>
        <w:szCs w:val="28"/>
      </w:rPr>
      <w:fldChar w:fldCharType="end"/>
    </w:r>
    <w:r>
      <w:rPr>
        <w:rStyle w:val="6"/>
        <w:rFonts w:hint="eastAsia" w:ascii="宋体" w:hAnsi="宋体" w:eastAsia="宋体"/>
        <w:sz w:val="28"/>
        <w:szCs w:val="28"/>
      </w:rPr>
      <w:t xml:space="preserve"> —</w:t>
    </w:r>
  </w:p>
  <w:p>
    <w:pPr>
      <w:pStyle w:val="2"/>
      <w:ind w:right="360" w:firstLine="360"/>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6"/>
      </w:rPr>
    </w:pPr>
    <w:r>
      <w:rPr>
        <w:rStyle w:val="6"/>
      </w:rPr>
      <w:fldChar w:fldCharType="begin"/>
    </w:r>
    <w:r>
      <w:rPr>
        <w:rStyle w:val="6"/>
      </w:rPr>
      <w:instrText xml:space="preserve">PAGE  </w:instrText>
    </w:r>
    <w:r>
      <w:rPr>
        <w:rStyle w:val="6"/>
      </w:rPr>
      <w:fldChar w:fldCharType="end"/>
    </w:r>
  </w:p>
  <w:p>
    <w:pPr>
      <w:pStyle w:val="2"/>
      <w:ind w:right="360" w:firstLine="360"/>
    </w:pPr>
    <w:r>
      <w:rPr>
        <w:sz w:val="2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-123190</wp:posOffset>
              </wp:positionV>
              <wp:extent cx="1108075" cy="32766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108075" cy="327660"/>
                      </a:xfrm>
                      <a:prstGeom prst="rect">
                        <a:avLst/>
                      </a:prstGeom>
                      <a:noFill/>
                      <a:ln>
                        <a:noFill/>
                      </a:ln>
                    </wps:spPr>
                    <wps:txbx>
                      <w:txbxContent>
                        <w:p>
                          <w:pPr>
                            <w:pStyle w:val="2"/>
                            <w:rPr>
                              <w:sz w:val="28"/>
                              <w:szCs w:val="28"/>
                            </w:rPr>
                          </w:pPr>
                          <w:r>
                            <w:rPr>
                              <w:rFonts w:hint="eastAsia"/>
                              <w:sz w:val="28"/>
                              <w:szCs w:val="28"/>
                            </w:rPr>
                            <w:t xml:space="preserve">—  </w:t>
                          </w:r>
                          <w:r>
                            <w:rPr>
                              <w:sz w:val="28"/>
                              <w:szCs w:val="28"/>
                            </w:rPr>
                            <w:fldChar w:fldCharType="begin"/>
                          </w:r>
                          <w:r>
                            <w:rPr>
                              <w:rStyle w:val="6"/>
                              <w:sz w:val="28"/>
                              <w:szCs w:val="28"/>
                            </w:rPr>
                            <w:instrText xml:space="preserve">PAGE  </w:instrText>
                          </w:r>
                          <w:r>
                            <w:rPr>
                              <w:sz w:val="28"/>
                              <w:szCs w:val="28"/>
                            </w:rPr>
                            <w:fldChar w:fldCharType="separate"/>
                          </w:r>
                          <w:r>
                            <w:rPr>
                              <w:rStyle w:val="6"/>
                              <w:sz w:val="28"/>
                              <w:szCs w:val="28"/>
                            </w:rPr>
                            <w:t>2</w:t>
                          </w:r>
                          <w:r>
                            <w:rPr>
                              <w:sz w:val="28"/>
                              <w:szCs w:val="28"/>
                            </w:rPr>
                            <w:fldChar w:fldCharType="end"/>
                          </w:r>
                          <w:r>
                            <w:rPr>
                              <w:rFonts w:hint="eastAsia"/>
                              <w:sz w:val="28"/>
                              <w:szCs w:val="28"/>
                            </w:rPr>
                            <w:t xml:space="preserve">  —</w:t>
                          </w:r>
                        </w:p>
                      </w:txbxContent>
                    </wps:txbx>
                    <wps:bodyPr lIns="0" tIns="0" rIns="0" bIns="0" upright="0"/>
                  </wps:wsp>
                </a:graphicData>
              </a:graphic>
            </wp:anchor>
          </w:drawing>
        </mc:Choice>
        <mc:Fallback>
          <w:pict>
            <v:shape id="_x0000_s1026" o:spid="_x0000_s1026" o:spt="202" type="#_x0000_t202" style="position:absolute;left:0pt;margin-top:-9.7pt;height:25.8pt;width:87.25pt;mso-position-horizontal:outside;mso-position-horizontal-relative:margin;z-index:251658240;mso-width-relative:page;mso-height-relative:page;" filled="f" stroked="f" coordsize="21600,21600" o:gfxdata="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">
              <v:path/>
              <v:fill on="f" focussize="0,0"/>
              <v:stroke on="f"/>
              <v:imagedata o:title=""/>
              <o:lock v:ext="edit" aspectratio="f"/>
              <v:textbox inset="0mm,0mm,0mm,0mm">
                <w:txbxContent>
                  <w:p>
                    <w:pPr>
                      <w:pStyle w:val="2"/>
                      <w:rPr>
                        <w:sz w:val="28"/>
                        <w:szCs w:val="28"/>
                      </w:rPr>
                    </w:pPr>
                    <w:r>
                      <w:rPr>
                        <w:rFonts w:hint="eastAsia"/>
                        <w:sz w:val="28"/>
                        <w:szCs w:val="28"/>
                      </w:rPr>
                      <w:t xml:space="preserve">—  </w:t>
                    </w:r>
                    <w:r>
                      <w:rPr>
                        <w:sz w:val="28"/>
                        <w:szCs w:val="28"/>
                      </w:rPr>
                      <w:fldChar w:fldCharType="begin"/>
                    </w:r>
                    <w:r>
                      <w:rPr>
                        <w:rStyle w:val="6"/>
                        <w:sz w:val="28"/>
                        <w:szCs w:val="28"/>
                      </w:rPr>
                      <w:instrText xml:space="preserve">PAGE  </w:instrText>
                    </w:r>
                    <w:r>
                      <w:rPr>
                        <w:sz w:val="28"/>
                        <w:szCs w:val="28"/>
                      </w:rPr>
                      <w:fldChar w:fldCharType="separate"/>
                    </w:r>
                    <w:r>
                      <w:rPr>
                        <w:rStyle w:val="6"/>
                        <w:sz w:val="28"/>
                        <w:szCs w:val="28"/>
                      </w:rPr>
                      <w:t>2</w:t>
                    </w:r>
                    <w:r>
                      <w:rPr>
                        <w:sz w:val="28"/>
                        <w:szCs w:val="28"/>
                      </w:rPr>
                      <w:fldChar w:fldCharType="end"/>
                    </w:r>
                    <w:r>
                      <w:rPr>
                        <w:rFonts w:hint="eastAsia"/>
                        <w:sz w:val="28"/>
                        <w:szCs w:val="28"/>
                      </w:rPr>
                      <w:t xml:space="preserve">  —</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1599" w:h="959" w:hRule="exact" w:wrap="around" w:vAnchor="text" w:hAnchor="margin" w:xAlign="outside" w:yAlign="top"/>
      <w:ind w:firstLine="240" w:firstLineChars="100"/>
      <w:rPr>
        <w:rStyle w:val="6"/>
        <w:rFonts w:hint="eastAsia" w:ascii="宋体" w:hAnsi="宋体"/>
        <w:sz w:val="24"/>
      </w:rPr>
    </w:pPr>
    <w:r>
      <w:rPr>
        <w:rStyle w:val="6"/>
        <w:rFonts w:hint="eastAsia" w:ascii="宋体" w:hAnsi="宋体"/>
        <w:sz w:val="24"/>
      </w:rPr>
      <w:t xml:space="preserve">- </w:t>
    </w:r>
    <w:r>
      <w:rPr>
        <w:rFonts w:ascii="宋体" w:hAnsi="宋体"/>
        <w:sz w:val="24"/>
      </w:rPr>
      <w:fldChar w:fldCharType="begin"/>
    </w:r>
    <w:r>
      <w:rPr>
        <w:rStyle w:val="6"/>
        <w:rFonts w:ascii="宋体" w:hAnsi="宋体"/>
        <w:sz w:val="24"/>
      </w:rPr>
      <w:instrText xml:space="preserve">PAGE  </w:instrText>
    </w:r>
    <w:r>
      <w:rPr>
        <w:rFonts w:ascii="宋体" w:hAnsi="宋体"/>
        <w:sz w:val="24"/>
      </w:rPr>
      <w:fldChar w:fldCharType="separate"/>
    </w:r>
    <w:r>
      <w:rPr>
        <w:rStyle w:val="6"/>
        <w:rFonts w:ascii="宋体" w:hAnsi="宋体"/>
        <w:sz w:val="24"/>
      </w:rPr>
      <w:t>2</w:t>
    </w:r>
    <w:r>
      <w:rPr>
        <w:rFonts w:ascii="宋体" w:hAnsi="宋体"/>
        <w:sz w:val="24"/>
      </w:rPr>
      <w:fldChar w:fldCharType="end"/>
    </w:r>
    <w:r>
      <w:rPr>
        <w:rStyle w:val="6"/>
        <w:rFonts w:hint="eastAsia" w:ascii="宋体" w:hAnsi="宋体"/>
        <w:sz w:val="24"/>
      </w:rPr>
      <w:t xml:space="preserve"> -</w:t>
    </w:r>
  </w:p>
  <w:p>
    <w:pPr>
      <w:pStyle w:val="2"/>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ABBBBAB"/>
    <w:multiLevelType w:val="singleLevel"/>
    <w:tmpl w:val="FABBBBAB"/>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E9B70AF"/>
    <w:rsid w:val="3E9B70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0"/>
  </w:style>
  <w:style w:type="paragraph" w:customStyle="1" w:styleId="7">
    <w:name w:val="List Paragraph"/>
    <w:basedOn w:val="1"/>
    <w:qFormat/>
    <w:uiPriority w:val="34"/>
    <w:pPr>
      <w:ind w:firstLine="420" w:firstLineChars="200"/>
    </w:pPr>
    <w:rPr>
      <w:rFonts w:ascii="Times New Roman" w:hAnsi="Times New Roman" w:cs="Times New Roman"/>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2020-09-27T09:14:00Z</dcterms:created>
  <dc:creator>-邵嘉达</dc:creator>
  <cp:lastModifiedBy>-邵嘉达</cp:lastModifiedBy>
  <dcterms:modified xsi:type="dcterms:W3CDTF">2020-09-27T09:15:24Z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