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2: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方正小标宋简体"/>
          <w:w w:val="95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w w:val="95"/>
          <w:sz w:val="44"/>
          <w:szCs w:val="44"/>
        </w:rPr>
        <w:t>1-4</w:t>
      </w:r>
      <w:r>
        <w:rPr>
          <w:rFonts w:hint="eastAsia" w:ascii="Times New Roman" w:hAnsi="Times New Roman" w:eastAsia="方正小标宋简体" w:cs="方正小标宋简体"/>
          <w:w w:val="95"/>
          <w:sz w:val="44"/>
          <w:szCs w:val="44"/>
        </w:rPr>
        <w:t>月新兴产业产值、增加值分地区情况表</w:t>
      </w:r>
    </w:p>
    <w:bookmarkEnd w:id="0"/>
    <w:p>
      <w:pPr>
        <w:spacing w:afterLines="20" w:line="560" w:lineRule="exac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单位：亿元、</w:t>
      </w:r>
      <w:r>
        <w:rPr>
          <w:rFonts w:ascii="Times New Roman" w:hAnsi="Times New Roman" w:cs="Times New Roman"/>
          <w:kern w:val="0"/>
          <w:sz w:val="24"/>
          <w:szCs w:val="24"/>
        </w:rPr>
        <w:t>%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010"/>
        <w:gridCol w:w="1736"/>
        <w:gridCol w:w="197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restart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3746" w:type="dxa"/>
            <w:gridSpan w:val="2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产值</w:t>
            </w:r>
          </w:p>
        </w:tc>
        <w:tc>
          <w:tcPr>
            <w:tcW w:w="3645" w:type="dxa"/>
            <w:gridSpan w:val="2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增加值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本月止累计</w:t>
            </w:r>
          </w:p>
        </w:tc>
        <w:tc>
          <w:tcPr>
            <w:tcW w:w="173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同比增速</w:t>
            </w:r>
          </w:p>
        </w:tc>
        <w:tc>
          <w:tcPr>
            <w:tcW w:w="197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本月止累计</w:t>
            </w:r>
          </w:p>
        </w:tc>
        <w:tc>
          <w:tcPr>
            <w:tcW w:w="167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同比增速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860.83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11.20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180.28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越城区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129.49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8.50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25.66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柯桥区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224.50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19.90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39.05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上虞区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215.29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10.20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45.42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诸暨市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133.16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10.70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27.28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嵊州市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55.78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9.30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13.33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新昌县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102.60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1.80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29.54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滨海新城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16.18</w:t>
            </w:r>
          </w:p>
        </w:tc>
        <w:tc>
          <w:tcPr>
            <w:tcW w:w="173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-15.90</w:t>
            </w:r>
          </w:p>
        </w:tc>
        <w:tc>
          <w:tcPr>
            <w:tcW w:w="19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5.24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4.56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7372F93-1888-4332-9C48-3E9AAE0FFE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6262"/>
    <w:rsid w:val="673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2019-06-11T08:55:00Z</dcterms:created>
  <dc:creator>-邵嘉达</dc:creator>
  <cp:lastModifiedBy>-邵嘉达</cp:lastModifiedBy>
  <dcterms:modified xsi:type="dcterms:W3CDTF">2019-06-11T08:57:15Z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