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Times New Roman" w:hAnsi="Times New Roman" w:eastAsia="仿宋_GB2312" w:cs="Times New Roman"/>
          <w:sz w:val="32"/>
          <w:szCs w:val="32"/>
        </w:rPr>
      </w:pPr>
      <w:r>
        <w:rPr>
          <w:rFonts w:hint="eastAsia" w:ascii="Times New Roman" w:hAnsi="Times New Roman" w:eastAsia="黑体" w:cs="黑体"/>
          <w:sz w:val="32"/>
          <w:szCs w:val="32"/>
        </w:rPr>
        <w:t>附件</w:t>
      </w:r>
      <w:r>
        <w:rPr>
          <w:rFonts w:ascii="Times New Roman" w:hAnsi="Times New Roman" w:eastAsia="仿宋_GB2312" w:cs="Times New Roman"/>
          <w:sz w:val="32"/>
          <w:szCs w:val="32"/>
        </w:rPr>
        <w:t>1</w:t>
      </w: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jc w:val="center"/>
        <w:rPr>
          <w:rFonts w:ascii="Times New Roman" w:hAnsi="Times New Roman" w:eastAsia="方正小标宋简体" w:cs="Times New Roman"/>
          <w:w w:val="95"/>
          <w:sz w:val="44"/>
          <w:szCs w:val="44"/>
        </w:rPr>
      </w:pPr>
      <w:bookmarkStart w:id="0" w:name="_GoBack"/>
      <w:r>
        <w:rPr>
          <w:rFonts w:hint="eastAsia" w:ascii="Times New Roman" w:hAnsi="Times New Roman" w:eastAsia="方正小标宋简体" w:cs="方正小标宋简体"/>
          <w:w w:val="95"/>
          <w:sz w:val="44"/>
          <w:szCs w:val="44"/>
        </w:rPr>
        <w:t>开展分行业、分区域规上服务业企业</w:t>
      </w:r>
      <w:r>
        <w:rPr>
          <w:rFonts w:ascii="Times New Roman" w:hAnsi="Times New Roman" w:eastAsia="方正小标宋简体" w:cs="Times New Roman"/>
          <w:w w:val="95"/>
          <w:sz w:val="44"/>
          <w:szCs w:val="44"/>
        </w:rPr>
        <w:t>“</w:t>
      </w:r>
      <w:r>
        <w:rPr>
          <w:rFonts w:hint="eastAsia" w:ascii="Times New Roman" w:hAnsi="Times New Roman" w:eastAsia="方正小标宋简体" w:cs="方正小标宋简体"/>
          <w:w w:val="95"/>
          <w:sz w:val="44"/>
          <w:szCs w:val="44"/>
        </w:rPr>
        <w:t>亩产效益</w:t>
      </w:r>
      <w:r>
        <w:rPr>
          <w:rFonts w:ascii="Times New Roman" w:hAnsi="Times New Roman" w:eastAsia="方正小标宋简体" w:cs="Times New Roman"/>
          <w:w w:val="95"/>
          <w:sz w:val="44"/>
          <w:szCs w:val="44"/>
        </w:rPr>
        <w:t>”</w:t>
      </w:r>
      <w:r>
        <w:rPr>
          <w:rFonts w:hint="eastAsia" w:ascii="Times New Roman" w:hAnsi="Times New Roman" w:eastAsia="方正小标宋简体" w:cs="方正小标宋简体"/>
          <w:w w:val="95"/>
          <w:sz w:val="44"/>
          <w:szCs w:val="44"/>
        </w:rPr>
        <w:t>综合评价的有关指标计算方法及说明</w:t>
      </w:r>
      <w:bookmarkEnd w:id="0"/>
    </w:p>
    <w:p>
      <w:pPr>
        <w:adjustRightInd w:val="0"/>
        <w:snapToGrid w:val="0"/>
        <w:spacing w:line="580" w:lineRule="exact"/>
        <w:jc w:val="center"/>
        <w:rPr>
          <w:rFonts w:ascii="Times New Roman" w:hAnsi="Times New Roman" w:eastAsia="方正小标宋简体" w:cs="Times New Roman"/>
          <w:sz w:val="44"/>
          <w:szCs w:val="44"/>
        </w:rPr>
      </w:pPr>
    </w:p>
    <w:p>
      <w:pPr>
        <w:adjustRightInd w:val="0"/>
        <w:snapToGrid w:val="0"/>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一、规模以上服务业企业</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）年营业收入</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万元及以上，或年末从业人员</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人及以上服务业法人单位。包括交通运输、仓储和邮政业，信息传输、软件和信息技术服务业行业，租赁和商务服务业行业门类，科学研究和技术服务业行业门类，水利、环境和公共设施管理业行业门类，教育，卫生和社会工作；以及物业管理、房地产中介服务、自有房地产经营活动和其他房地产业等行业。（</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）年营业收入</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万元及以上，或年末从业人员</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人及以上服务业法人单位。包括居民服务、修理和其他服务业，文化、体育和娱乐业。（</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）带有公益性质的企业是指以保障民生、服务社会、提供公共产品和服务为主要目标的相关企业。</w:t>
      </w:r>
    </w:p>
    <w:p>
      <w:pPr>
        <w:adjustRightInd w:val="0"/>
        <w:snapToGrid w:val="0"/>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二、税收实际贡献（单位：万元）</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税收实际贡献包括增值税、消费税、企业所得税、个人所得税、房产税、城镇土地使用税、车船税、土地增值税、印花税、城市维护建设税、资源税、教育费附加、地方教育附加等</w:t>
      </w:r>
      <w:r>
        <w:rPr>
          <w:rFonts w:ascii="Times New Roman" w:hAnsi="Times New Roman" w:eastAsia="仿宋_GB2312" w:cs="Times New Roman"/>
          <w:sz w:val="32"/>
          <w:szCs w:val="32"/>
        </w:rPr>
        <w:t>13</w:t>
      </w:r>
      <w:r>
        <w:rPr>
          <w:rFonts w:hint="eastAsia" w:ascii="Times New Roman" w:hAnsi="Times New Roman" w:eastAsia="仿宋_GB2312" w:cs="仿宋_GB2312"/>
          <w:sz w:val="32"/>
          <w:szCs w:val="32"/>
        </w:rPr>
        <w:t>项税费实际入库数（不含查补税款、罚款、滞纳金）。其中增值税包含服务外包企业发生的</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免抵</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税额。</w:t>
      </w:r>
    </w:p>
    <w:p>
      <w:pPr>
        <w:adjustRightInd w:val="0"/>
        <w:snapToGrid w:val="0"/>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三、增加值（单位：万元）</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增加值指企业生产过程中新增加的价值。按照收入法计算，计算方法：增加值</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固定资产折旧</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劳动者报酬</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生产税净值</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营业盈余。</w:t>
      </w:r>
    </w:p>
    <w:p>
      <w:pPr>
        <w:adjustRightInd w:val="0"/>
        <w:snapToGrid w:val="0"/>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四、土地面积（单位：亩）</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用地面积是指以依法取得为前提、实际占用为原则，年末企业实际占用的土地面积。用地面积</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已登记用地面积</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承租用地面积。其中：（</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）已登记用地面积：是指企业经国土资源部门登记的土地面积；（</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）承租用地面积：是指企业依法租赁取得的实际用地面积；（</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）经批准的项目新增土地面积在</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年建设期、</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年过渡期内可不计入用地面积。</w:t>
      </w:r>
    </w:p>
    <w:p>
      <w:pPr>
        <w:adjustRightInd w:val="0"/>
        <w:snapToGrid w:val="0"/>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五、年平均职工人数（单位：人）</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年平均职工人数指企业年度平均从业人数。</w:t>
      </w:r>
    </w:p>
    <w:p>
      <w:pPr>
        <w:adjustRightInd w:val="0"/>
        <w:snapToGrid w:val="0"/>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六、亩均税收（单位：万元</w:t>
      </w:r>
      <w:r>
        <w:rPr>
          <w:rFonts w:ascii="Times New Roman" w:hAnsi="Times New Roman" w:eastAsia="黑体" w:cs="Times New Roman"/>
          <w:sz w:val="32"/>
          <w:szCs w:val="32"/>
        </w:rPr>
        <w:t>/</w:t>
      </w:r>
      <w:r>
        <w:rPr>
          <w:rFonts w:hint="eastAsia" w:ascii="Times New Roman" w:hAnsi="Times New Roman" w:eastAsia="黑体" w:cs="黑体"/>
          <w:sz w:val="32"/>
          <w:szCs w:val="32"/>
        </w:rPr>
        <w:t>亩）</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亩均税收</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税收实际贡献</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用地面积</w:t>
      </w:r>
    </w:p>
    <w:p>
      <w:pPr>
        <w:adjustRightInd w:val="0"/>
        <w:snapToGrid w:val="0"/>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七、亩均增加值（单位：万元</w:t>
      </w:r>
      <w:r>
        <w:rPr>
          <w:rFonts w:ascii="Times New Roman" w:hAnsi="Times New Roman" w:eastAsia="黑体" w:cs="Times New Roman"/>
          <w:sz w:val="32"/>
          <w:szCs w:val="32"/>
        </w:rPr>
        <w:t>/</w:t>
      </w:r>
      <w:r>
        <w:rPr>
          <w:rFonts w:hint="eastAsia" w:ascii="Times New Roman" w:hAnsi="Times New Roman" w:eastAsia="黑体" w:cs="黑体"/>
          <w:sz w:val="32"/>
          <w:szCs w:val="32"/>
        </w:rPr>
        <w:t>亩）</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亩均增加值</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增加值</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用地面积</w:t>
      </w:r>
    </w:p>
    <w:p>
      <w:pPr>
        <w:adjustRightInd w:val="0"/>
        <w:snapToGrid w:val="0"/>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八、全员劳动生产率（单位：万元</w:t>
      </w:r>
      <w:r>
        <w:rPr>
          <w:rFonts w:ascii="Times New Roman" w:hAnsi="Times New Roman" w:eastAsia="黑体" w:cs="Times New Roman"/>
          <w:sz w:val="32"/>
          <w:szCs w:val="32"/>
        </w:rPr>
        <w:t>/</w:t>
      </w:r>
      <w:r>
        <w:rPr>
          <w:rFonts w:hint="eastAsia" w:ascii="Times New Roman" w:hAnsi="Times New Roman" w:eastAsia="黑体" w:cs="黑体"/>
          <w:sz w:val="32"/>
          <w:szCs w:val="32"/>
        </w:rPr>
        <w:t>人）</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全员劳动生产率</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增加值</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年平均职工人数</w:t>
      </w:r>
    </w:p>
    <w:p>
      <w:pPr>
        <w:adjustRightInd w:val="0"/>
        <w:snapToGrid w:val="0"/>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九、企业</w:t>
      </w:r>
      <w:r>
        <w:rPr>
          <w:rFonts w:ascii="Times New Roman" w:hAnsi="Times New Roman" w:eastAsia="黑体" w:cs="Times New Roman"/>
          <w:sz w:val="32"/>
          <w:szCs w:val="32"/>
        </w:rPr>
        <w:t>R&amp;D</w:t>
      </w:r>
      <w:r>
        <w:rPr>
          <w:rFonts w:hint="eastAsia" w:ascii="Times New Roman" w:hAnsi="Times New Roman" w:eastAsia="黑体" w:cs="黑体"/>
          <w:sz w:val="32"/>
          <w:szCs w:val="32"/>
        </w:rPr>
        <w:t>经费内部支出占主营业务收入比例（单位：</w:t>
      </w:r>
      <w:r>
        <w:rPr>
          <w:rFonts w:ascii="Times New Roman" w:hAnsi="Times New Roman" w:eastAsia="黑体" w:cs="Times New Roman"/>
          <w:sz w:val="32"/>
          <w:szCs w:val="32"/>
        </w:rPr>
        <w:t>%</w:t>
      </w:r>
      <w:r>
        <w:rPr>
          <w:rFonts w:hint="eastAsia" w:ascii="Times New Roman" w:hAnsi="Times New Roman" w:eastAsia="黑体" w:cs="黑体"/>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企业</w:t>
      </w:r>
      <w:r>
        <w:rPr>
          <w:rFonts w:ascii="Times New Roman" w:hAnsi="Times New Roman" w:eastAsia="仿宋_GB2312" w:cs="Times New Roman"/>
          <w:sz w:val="32"/>
          <w:szCs w:val="32"/>
        </w:rPr>
        <w:t>R&amp;D</w:t>
      </w:r>
      <w:r>
        <w:rPr>
          <w:rFonts w:hint="eastAsia" w:ascii="Times New Roman" w:hAnsi="Times New Roman" w:eastAsia="仿宋_GB2312" w:cs="仿宋_GB2312"/>
          <w:sz w:val="32"/>
          <w:szCs w:val="32"/>
        </w:rPr>
        <w:t>经费内部支出占主营业务收入比例</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企业</w:t>
      </w:r>
      <w:r>
        <w:rPr>
          <w:rFonts w:ascii="Times New Roman" w:hAnsi="Times New Roman" w:eastAsia="仿宋_GB2312" w:cs="Times New Roman"/>
          <w:sz w:val="32"/>
          <w:szCs w:val="32"/>
        </w:rPr>
        <w:t>R&amp;D</w:t>
      </w:r>
      <w:r>
        <w:rPr>
          <w:rFonts w:hint="eastAsia" w:ascii="Times New Roman" w:hAnsi="Times New Roman" w:eastAsia="仿宋_GB2312" w:cs="仿宋_GB2312"/>
          <w:sz w:val="32"/>
          <w:szCs w:val="32"/>
        </w:rPr>
        <w:t>经费支出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主营业务收入</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R&amp;D</w:t>
      </w:r>
      <w:r>
        <w:rPr>
          <w:rFonts w:hint="eastAsia" w:ascii="Times New Roman" w:hAnsi="Times New Roman" w:eastAsia="仿宋_GB2312" w:cs="仿宋_GB2312"/>
          <w:sz w:val="32"/>
          <w:szCs w:val="32"/>
        </w:rPr>
        <w:t>经费内部支出指企业在报告年度用于内部开展</w:t>
      </w:r>
      <w:r>
        <w:rPr>
          <w:rFonts w:ascii="Times New Roman" w:hAnsi="Times New Roman" w:eastAsia="仿宋_GB2312" w:cs="Times New Roman"/>
          <w:sz w:val="32"/>
          <w:szCs w:val="32"/>
        </w:rPr>
        <w:t>R&amp;D</w:t>
      </w:r>
      <w:r>
        <w:rPr>
          <w:rFonts w:hint="eastAsia" w:ascii="Times New Roman" w:hAnsi="Times New Roman" w:eastAsia="仿宋_GB2312" w:cs="仿宋_GB2312"/>
          <w:sz w:val="32"/>
          <w:szCs w:val="32"/>
        </w:rPr>
        <w:t>活动的实际支出。包括用于</w:t>
      </w:r>
      <w:r>
        <w:rPr>
          <w:rFonts w:ascii="Times New Roman" w:hAnsi="Times New Roman" w:eastAsia="仿宋_GB2312" w:cs="Times New Roman"/>
          <w:sz w:val="32"/>
          <w:szCs w:val="32"/>
        </w:rPr>
        <w:t>R&amp;D</w:t>
      </w:r>
      <w:r>
        <w:rPr>
          <w:rFonts w:hint="eastAsia" w:ascii="Times New Roman" w:hAnsi="Times New Roman" w:eastAsia="仿宋_GB2312" w:cs="仿宋_GB2312"/>
          <w:sz w:val="32"/>
          <w:szCs w:val="32"/>
        </w:rPr>
        <w:t>项目（课题）活动的直接支出，以及间接用于</w:t>
      </w:r>
      <w:r>
        <w:rPr>
          <w:rFonts w:ascii="Times New Roman" w:hAnsi="Times New Roman" w:eastAsia="仿宋_GB2312" w:cs="Times New Roman"/>
          <w:sz w:val="32"/>
          <w:szCs w:val="32"/>
        </w:rPr>
        <w:t>R&amp;D</w:t>
      </w:r>
      <w:r>
        <w:rPr>
          <w:rFonts w:hint="eastAsia" w:ascii="Times New Roman" w:hAnsi="Times New Roman" w:eastAsia="仿宋_GB2312" w:cs="仿宋_GB2312"/>
          <w:sz w:val="32"/>
          <w:szCs w:val="32"/>
        </w:rPr>
        <w:t>活动的管理费、服务费、与</w:t>
      </w:r>
      <w:r>
        <w:rPr>
          <w:rFonts w:ascii="Times New Roman" w:hAnsi="Times New Roman" w:eastAsia="仿宋_GB2312" w:cs="Times New Roman"/>
          <w:sz w:val="32"/>
          <w:szCs w:val="32"/>
        </w:rPr>
        <w:t>R&amp;D</w:t>
      </w:r>
      <w:r>
        <w:rPr>
          <w:rFonts w:hint="eastAsia" w:ascii="Times New Roman" w:hAnsi="Times New Roman" w:eastAsia="仿宋_GB2312" w:cs="仿宋_GB2312"/>
          <w:sz w:val="32"/>
          <w:szCs w:val="32"/>
        </w:rPr>
        <w:t>有关的基本建设支出以及外协加工费等。不包括生产性活动支出、归还贷款支出以及与外单位合作或委托外单位进行</w:t>
      </w:r>
      <w:r>
        <w:rPr>
          <w:rFonts w:ascii="Times New Roman" w:hAnsi="Times New Roman" w:eastAsia="仿宋_GB2312" w:cs="Times New Roman"/>
          <w:sz w:val="32"/>
          <w:szCs w:val="32"/>
        </w:rPr>
        <w:t>R&amp;D</w:t>
      </w:r>
      <w:r>
        <w:rPr>
          <w:rFonts w:hint="eastAsia" w:ascii="Times New Roman" w:hAnsi="Times New Roman" w:eastAsia="仿宋_GB2312" w:cs="仿宋_GB2312"/>
          <w:sz w:val="32"/>
          <w:szCs w:val="32"/>
        </w:rPr>
        <w:t>活动而转拨给对方的经费支出。</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主营业务收入指企业确认的销售商品、提供劳务等主营业务的收入。</w:t>
      </w:r>
    </w:p>
    <w:p>
      <w:pPr>
        <w:adjustRightInd w:val="0"/>
        <w:snapToGrid w:val="0"/>
        <w:spacing w:line="580" w:lineRule="exact"/>
        <w:ind w:firstLine="640"/>
        <w:rPr>
          <w:rFonts w:ascii="Times New Roman" w:hAnsi="Times New Roman" w:eastAsia="黑体" w:cs="Times New Roman"/>
          <w:sz w:val="32"/>
          <w:szCs w:val="32"/>
        </w:rPr>
      </w:pPr>
      <w:r>
        <w:rPr>
          <w:rFonts w:hint="eastAsia" w:ascii="Times New Roman" w:hAnsi="Times New Roman" w:eastAsia="黑体" w:cs="黑体"/>
          <w:sz w:val="32"/>
          <w:szCs w:val="32"/>
        </w:rPr>
        <w:t>十、人均软件著作权数量（单位：件</w:t>
      </w:r>
      <w:r>
        <w:rPr>
          <w:rFonts w:ascii="Times New Roman" w:hAnsi="Times New Roman" w:eastAsia="黑体" w:cs="Times New Roman"/>
          <w:sz w:val="32"/>
          <w:szCs w:val="32"/>
        </w:rPr>
        <w:t>/</w:t>
      </w:r>
      <w:r>
        <w:rPr>
          <w:rFonts w:hint="eastAsia" w:ascii="Times New Roman" w:hAnsi="Times New Roman" w:eastAsia="黑体" w:cs="黑体"/>
          <w:sz w:val="32"/>
          <w:szCs w:val="32"/>
        </w:rPr>
        <w:t>人）</w:t>
      </w:r>
    </w:p>
    <w:p>
      <w:pPr>
        <w:adjustRightInd w:val="0"/>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人均软件著作权数量</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软件著作权数量</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年平均职工人数</w:t>
      </w:r>
    </w:p>
    <w:p>
      <w:pPr>
        <w:adjustRightInd w:val="0"/>
        <w:snapToGrid w:val="0"/>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软件著作权数量是指根据有关法律，依法登记在企业名下的软件著作权的数量。</w:t>
      </w:r>
    </w:p>
    <w:p>
      <w:pPr>
        <w:adjustRightInd w:val="0"/>
        <w:snapToGrid w:val="0"/>
        <w:spacing w:line="580" w:lineRule="exact"/>
        <w:ind w:firstLine="640"/>
        <w:rPr>
          <w:rFonts w:ascii="Times New Roman" w:hAnsi="Times New Roman" w:eastAsia="黑体" w:cs="Times New Roman"/>
          <w:sz w:val="32"/>
          <w:szCs w:val="32"/>
        </w:rPr>
      </w:pPr>
      <w:r>
        <w:rPr>
          <w:rFonts w:hint="eastAsia" w:ascii="Times New Roman" w:hAnsi="Times New Roman" w:eastAsia="黑体" w:cs="黑体"/>
          <w:sz w:val="32"/>
          <w:szCs w:val="32"/>
        </w:rPr>
        <w:t>十一、</w:t>
      </w:r>
      <w:r>
        <w:rPr>
          <w:rFonts w:ascii="Times New Roman" w:hAnsi="Times New Roman" w:eastAsia="黑体" w:cs="Times New Roman"/>
          <w:sz w:val="32"/>
          <w:szCs w:val="32"/>
        </w:rPr>
        <w:t>R&amp;D</w:t>
      </w:r>
      <w:r>
        <w:rPr>
          <w:rFonts w:hint="eastAsia" w:ascii="Times New Roman" w:hAnsi="Times New Roman" w:eastAsia="黑体" w:cs="黑体"/>
          <w:sz w:val="32"/>
          <w:szCs w:val="32"/>
        </w:rPr>
        <w:t>人员占企业职工数比例（单位：</w:t>
      </w:r>
      <w:r>
        <w:rPr>
          <w:rFonts w:ascii="Times New Roman" w:hAnsi="Times New Roman" w:eastAsia="黑体" w:cs="Times New Roman"/>
          <w:sz w:val="32"/>
          <w:szCs w:val="32"/>
        </w:rPr>
        <w:t>%</w:t>
      </w:r>
      <w:r>
        <w:rPr>
          <w:rFonts w:hint="eastAsia" w:ascii="Times New Roman" w:hAnsi="Times New Roman" w:eastAsia="黑体" w:cs="黑体"/>
          <w:sz w:val="32"/>
          <w:szCs w:val="32"/>
        </w:rPr>
        <w:t>）</w:t>
      </w:r>
    </w:p>
    <w:p>
      <w:pPr>
        <w:adjustRightInd w:val="0"/>
        <w:snapToGrid w:val="0"/>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R&amp;D</w:t>
      </w:r>
      <w:r>
        <w:rPr>
          <w:rFonts w:hint="eastAsia" w:ascii="Times New Roman" w:hAnsi="Times New Roman" w:eastAsia="仿宋_GB2312" w:cs="仿宋_GB2312"/>
          <w:sz w:val="32"/>
          <w:szCs w:val="32"/>
        </w:rPr>
        <w:t>人员占企业职工数比例</w:t>
      </w:r>
      <w:r>
        <w:rPr>
          <w:rFonts w:ascii="Times New Roman" w:hAnsi="Times New Roman" w:eastAsia="仿宋_GB2312" w:cs="Times New Roman"/>
          <w:sz w:val="32"/>
          <w:szCs w:val="32"/>
        </w:rPr>
        <w:t>=R&amp;D</w:t>
      </w:r>
      <w:r>
        <w:rPr>
          <w:rFonts w:hint="eastAsia" w:ascii="Times New Roman" w:hAnsi="Times New Roman" w:eastAsia="仿宋_GB2312" w:cs="仿宋_GB2312"/>
          <w:sz w:val="32"/>
          <w:szCs w:val="32"/>
        </w:rPr>
        <w:t>人员数量</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年平均职工人数</w:t>
      </w:r>
    </w:p>
    <w:p>
      <w:pPr>
        <w:adjustRightInd w:val="0"/>
        <w:snapToGrid w:val="0"/>
        <w:spacing w:line="580" w:lineRule="exact"/>
        <w:ind w:firstLine="640" w:firstLineChars="200"/>
        <w:rPr>
          <w:rFonts w:ascii="Times New Roman" w:hAnsi="Times New Roman" w:eastAsia="黑体" w:cs="Times New Roman"/>
          <w:sz w:val="32"/>
          <w:szCs w:val="32"/>
        </w:rPr>
        <w:sectPr>
          <w:footerReference r:id="rId3" w:type="default"/>
          <w:pgSz w:w="11906" w:h="16838"/>
          <w:pgMar w:top="2098" w:right="1531" w:bottom="1871" w:left="1531" w:header="851" w:footer="1531" w:gutter="0"/>
          <w:cols w:space="720" w:num="1"/>
          <w:docGrid w:type="lines" w:linePitch="579" w:charSpace="-1024"/>
        </w:sectPr>
      </w:pPr>
      <w:r>
        <w:rPr>
          <w:rFonts w:ascii="Times New Roman" w:hAnsi="Times New Roman" w:eastAsia="仿宋_GB2312" w:cs="Times New Roman"/>
          <w:sz w:val="32"/>
          <w:szCs w:val="32"/>
        </w:rPr>
        <w:t>R&amp;D</w:t>
      </w:r>
      <w:r>
        <w:rPr>
          <w:rFonts w:hint="eastAsia" w:ascii="Times New Roman" w:hAnsi="Times New Roman" w:eastAsia="仿宋_GB2312" w:cs="仿宋_GB2312"/>
          <w:sz w:val="32"/>
          <w:szCs w:val="32"/>
        </w:rPr>
        <w:t>人员数量是指单位内部从事基础研究、应用研究和实验发展三类活动人员数量，包括直接参加上述三类项目活动的人员数量以及这三类项目的管理人员数量和直接服务人员数量。为研发活动提供直接服务的人员包括直接为研发活动提供资料文献、材料供应、设备维护等服务的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A124325-4E71-4F93-8CAE-3685BBB46D0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EAD8AEE0-E55C-46FA-BD2F-41BD8BBE82FA}"/>
  </w:font>
  <w:font w:name="方正小标宋简体">
    <w:panose1 w:val="02000000000000000000"/>
    <w:charset w:val="86"/>
    <w:family w:val="script"/>
    <w:pitch w:val="default"/>
    <w:sig w:usb0="00000001" w:usb1="08000000" w:usb2="00000000" w:usb3="00000000" w:csb0="00040000" w:csb1="00000000"/>
    <w:embedRegular r:id="rId3" w:fontKey="{C5718D07-D2DC-4E3B-8A5D-3F1BE7A590F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Times New Roman"/>
        <w:sz w:val="28"/>
        <w:szCs w:val="28"/>
      </w:rPr>
    </w:pPr>
    <w:r>
      <w:rPr>
        <w:rStyle w:val="5"/>
        <w:rFonts w:ascii="宋体" w:hAnsi="宋体" w:cs="宋体"/>
        <w:sz w:val="28"/>
        <w:szCs w:val="28"/>
      </w:rPr>
      <w:t xml:space="preserve">— </w:t>
    </w: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6</w:t>
    </w:r>
    <w:r>
      <w:rPr>
        <w:rStyle w:val="5"/>
        <w:rFonts w:ascii="宋体" w:hAnsi="宋体" w:cs="宋体"/>
        <w:sz w:val="28"/>
        <w:szCs w:val="28"/>
      </w:rPr>
      <w:fldChar w:fldCharType="end"/>
    </w:r>
    <w:r>
      <w:rPr>
        <w:rStyle w:val="5"/>
        <w:rFonts w:ascii="宋体" w:hAnsi="宋体" w:cs="宋体"/>
        <w:sz w:val="28"/>
        <w:szCs w:val="28"/>
      </w:rPr>
      <w:t xml:space="preserve"> —</w:t>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D2961"/>
    <w:rsid w:val="50DD2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2019-06-25T06:58:00Z</dcterms:created>
  <dc:creator>-邵嘉达</dc:creator>
  <cp:lastModifiedBy>-邵嘉达</cp:lastModifiedBy>
  <dcterms:modified xsi:type="dcterms:W3CDTF">2019-06-25T06:59:10Z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